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7876" w14:textId="77777777" w:rsidR="00D01563" w:rsidRDefault="00C048ED" w:rsidP="00D01563">
      <w:pPr>
        <w:jc w:val="center"/>
        <w:rPr>
          <w:b/>
          <w:sz w:val="28"/>
          <w:szCs w:val="28"/>
        </w:rPr>
      </w:pPr>
      <w:r>
        <w:rPr>
          <w:rFonts w:cs="Calibri"/>
          <w:noProof/>
          <w:lang w:val="en-GB" w:eastAsia="en-GB"/>
        </w:rPr>
        <w:drawing>
          <wp:inline distT="0" distB="0" distL="0" distR="0" wp14:anchorId="47817A07" wp14:editId="47817A08">
            <wp:extent cx="1442722" cy="1419225"/>
            <wp:effectExtent l="0" t="0" r="5080" b="0"/>
            <wp:docPr id="1" name="Picture 1" descr="Totnes Town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546" cy="142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17877" w14:textId="77777777" w:rsidR="00D01563" w:rsidRDefault="00D01563" w:rsidP="00D01563">
      <w:pPr>
        <w:jc w:val="center"/>
        <w:rPr>
          <w:b/>
          <w:sz w:val="28"/>
          <w:szCs w:val="28"/>
        </w:rPr>
      </w:pPr>
    </w:p>
    <w:p w14:paraId="47817878" w14:textId="77777777" w:rsidR="00D01563" w:rsidRDefault="00D01563" w:rsidP="00D01563">
      <w:pPr>
        <w:jc w:val="center"/>
        <w:rPr>
          <w:b/>
          <w:sz w:val="28"/>
          <w:szCs w:val="28"/>
        </w:rPr>
      </w:pPr>
    </w:p>
    <w:p w14:paraId="47817879" w14:textId="77777777" w:rsidR="00D01563" w:rsidRDefault="00D01563" w:rsidP="00D01563">
      <w:pPr>
        <w:jc w:val="center"/>
        <w:rPr>
          <w:b/>
          <w:sz w:val="28"/>
          <w:szCs w:val="28"/>
        </w:rPr>
      </w:pPr>
    </w:p>
    <w:p w14:paraId="4781787A" w14:textId="77777777" w:rsidR="00D01563" w:rsidRDefault="00D01563" w:rsidP="00D01563">
      <w:pPr>
        <w:jc w:val="center"/>
        <w:rPr>
          <w:b/>
          <w:sz w:val="28"/>
          <w:szCs w:val="28"/>
        </w:rPr>
      </w:pPr>
    </w:p>
    <w:p w14:paraId="4781787B" w14:textId="77777777" w:rsidR="00D01563" w:rsidRPr="00D01563" w:rsidRDefault="00D01563" w:rsidP="00D01563">
      <w:pPr>
        <w:jc w:val="center"/>
        <w:rPr>
          <w:b/>
          <w:sz w:val="28"/>
          <w:szCs w:val="28"/>
        </w:rPr>
      </w:pPr>
      <w:r w:rsidRPr="00D01563">
        <w:rPr>
          <w:b/>
          <w:sz w:val="28"/>
          <w:szCs w:val="28"/>
        </w:rPr>
        <w:t>TOTNES TOWN COUNCIL</w:t>
      </w:r>
    </w:p>
    <w:p w14:paraId="4781787C" w14:textId="77777777" w:rsidR="00D01563" w:rsidRPr="00D01563" w:rsidRDefault="00D01563" w:rsidP="00D01563">
      <w:pPr>
        <w:jc w:val="center"/>
        <w:rPr>
          <w:b/>
          <w:sz w:val="28"/>
          <w:szCs w:val="28"/>
        </w:rPr>
      </w:pPr>
    </w:p>
    <w:p w14:paraId="4781787D" w14:textId="77777777" w:rsidR="00D01563" w:rsidRPr="00D01563" w:rsidRDefault="00D01563" w:rsidP="00D01563">
      <w:pPr>
        <w:jc w:val="center"/>
        <w:rPr>
          <w:b/>
          <w:sz w:val="28"/>
          <w:szCs w:val="28"/>
        </w:rPr>
      </w:pPr>
    </w:p>
    <w:p w14:paraId="4781787E" w14:textId="77777777" w:rsidR="00D01563" w:rsidRPr="00D01563" w:rsidRDefault="00D01563" w:rsidP="00D01563">
      <w:pPr>
        <w:jc w:val="center"/>
        <w:rPr>
          <w:b/>
          <w:sz w:val="36"/>
          <w:szCs w:val="36"/>
        </w:rPr>
      </w:pPr>
      <w:r w:rsidRPr="00D01563">
        <w:rPr>
          <w:b/>
          <w:sz w:val="36"/>
          <w:szCs w:val="36"/>
        </w:rPr>
        <w:t>FINANCIAL RISK ASSESSMENT</w:t>
      </w:r>
    </w:p>
    <w:p w14:paraId="4781787F" w14:textId="77777777" w:rsidR="00D01563" w:rsidRDefault="00D01563" w:rsidP="00D01563">
      <w:pPr>
        <w:jc w:val="center"/>
        <w:rPr>
          <w:b/>
          <w:sz w:val="28"/>
          <w:szCs w:val="28"/>
        </w:rPr>
      </w:pPr>
    </w:p>
    <w:p w14:paraId="47817880" w14:textId="77777777" w:rsidR="00D01563" w:rsidRDefault="00D01563" w:rsidP="00D01563">
      <w:pPr>
        <w:jc w:val="center"/>
        <w:rPr>
          <w:b/>
          <w:sz w:val="28"/>
          <w:szCs w:val="28"/>
        </w:rPr>
      </w:pPr>
    </w:p>
    <w:p w14:paraId="47817881" w14:textId="77777777" w:rsidR="00D01563" w:rsidRDefault="00D01563" w:rsidP="00D01563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Ind w:w="2054" w:type="dxa"/>
        <w:tblLook w:val="04A0" w:firstRow="1" w:lastRow="0" w:firstColumn="1" w:lastColumn="0" w:noHBand="0" w:noVBand="1"/>
      </w:tblPr>
      <w:tblGrid>
        <w:gridCol w:w="2830"/>
        <w:gridCol w:w="7008"/>
      </w:tblGrid>
      <w:tr w:rsidR="00D01563" w14:paraId="47817884" w14:textId="77777777" w:rsidTr="00D01563">
        <w:trPr>
          <w:trHeight w:val="329"/>
        </w:trPr>
        <w:tc>
          <w:tcPr>
            <w:tcW w:w="2830" w:type="dxa"/>
          </w:tcPr>
          <w:p w14:paraId="47817882" w14:textId="77777777" w:rsidR="00D01563" w:rsidRPr="00D01563" w:rsidRDefault="00D01563" w:rsidP="00D01563">
            <w:r w:rsidRPr="00D01563">
              <w:t>COMPLETED BY:</w:t>
            </w:r>
          </w:p>
        </w:tc>
        <w:tc>
          <w:tcPr>
            <w:tcW w:w="7008" w:type="dxa"/>
          </w:tcPr>
          <w:p w14:paraId="47817883" w14:textId="77777777" w:rsidR="00D01563" w:rsidRDefault="00C039BC" w:rsidP="00C039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Catherine Marlton &amp; Christina Bewley</w:t>
            </w:r>
          </w:p>
        </w:tc>
      </w:tr>
      <w:tr w:rsidR="00D01563" w14:paraId="47817887" w14:textId="77777777" w:rsidTr="00D01563">
        <w:trPr>
          <w:trHeight w:val="329"/>
        </w:trPr>
        <w:tc>
          <w:tcPr>
            <w:tcW w:w="2830" w:type="dxa"/>
          </w:tcPr>
          <w:p w14:paraId="47817885" w14:textId="77777777" w:rsidR="00D01563" w:rsidRPr="00D01563" w:rsidRDefault="00D01563" w:rsidP="00D01563">
            <w:r w:rsidRPr="00D01563">
              <w:t>DATE:</w:t>
            </w:r>
          </w:p>
        </w:tc>
        <w:tc>
          <w:tcPr>
            <w:tcW w:w="7008" w:type="dxa"/>
          </w:tcPr>
          <w:p w14:paraId="47817886" w14:textId="45E7FC29" w:rsidR="00D01563" w:rsidRDefault="00F018E8" w:rsidP="007D62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 202</w:t>
            </w:r>
            <w:r w:rsidR="00AB0F42">
              <w:rPr>
                <w:b/>
                <w:sz w:val="28"/>
                <w:szCs w:val="28"/>
              </w:rPr>
              <w:t>4</w:t>
            </w:r>
            <w:r w:rsidR="006140F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01563" w14:paraId="4781788A" w14:textId="77777777" w:rsidTr="00D01563">
        <w:trPr>
          <w:trHeight w:val="329"/>
        </w:trPr>
        <w:tc>
          <w:tcPr>
            <w:tcW w:w="2830" w:type="dxa"/>
          </w:tcPr>
          <w:p w14:paraId="47817888" w14:textId="77777777" w:rsidR="00D01563" w:rsidRPr="00D01563" w:rsidRDefault="00D01563" w:rsidP="00D01563">
            <w:r w:rsidRPr="00D01563">
              <w:t>REVIEW DUE:</w:t>
            </w:r>
          </w:p>
        </w:tc>
        <w:tc>
          <w:tcPr>
            <w:tcW w:w="7008" w:type="dxa"/>
          </w:tcPr>
          <w:p w14:paraId="47817889" w14:textId="6F80F9A1" w:rsidR="00D01563" w:rsidRDefault="00F018E8" w:rsidP="00C039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 202</w:t>
            </w:r>
            <w:r w:rsidR="00AB0F42">
              <w:rPr>
                <w:b/>
                <w:sz w:val="28"/>
                <w:szCs w:val="28"/>
              </w:rPr>
              <w:t>5</w:t>
            </w:r>
          </w:p>
        </w:tc>
      </w:tr>
    </w:tbl>
    <w:p w14:paraId="4781788B" w14:textId="77777777" w:rsidR="00D01563" w:rsidRDefault="00D01563" w:rsidP="00D01563">
      <w:pPr>
        <w:jc w:val="center"/>
        <w:rPr>
          <w:b/>
          <w:sz w:val="28"/>
          <w:szCs w:val="28"/>
        </w:rPr>
      </w:pPr>
    </w:p>
    <w:p w14:paraId="4781788C" w14:textId="77777777" w:rsidR="00D01563" w:rsidRDefault="00D01563" w:rsidP="00D01563">
      <w:pPr>
        <w:jc w:val="center"/>
        <w:rPr>
          <w:b/>
          <w:sz w:val="28"/>
          <w:szCs w:val="28"/>
        </w:rPr>
      </w:pPr>
    </w:p>
    <w:p w14:paraId="4781788D" w14:textId="77777777" w:rsidR="00D01563" w:rsidRDefault="00D01563" w:rsidP="00D01563">
      <w:pPr>
        <w:jc w:val="center"/>
        <w:rPr>
          <w:b/>
          <w:sz w:val="28"/>
          <w:szCs w:val="28"/>
        </w:rPr>
      </w:pPr>
    </w:p>
    <w:p w14:paraId="4781788E" w14:textId="77777777" w:rsidR="00D01563" w:rsidRDefault="00D01563" w:rsidP="00D01563">
      <w:pPr>
        <w:rPr>
          <w:sz w:val="28"/>
          <w:szCs w:val="28"/>
        </w:rPr>
      </w:pPr>
    </w:p>
    <w:p w14:paraId="4781788F" w14:textId="77777777" w:rsidR="00D01563" w:rsidRDefault="00D01563" w:rsidP="00D01563">
      <w:pPr>
        <w:rPr>
          <w:sz w:val="28"/>
          <w:szCs w:val="28"/>
        </w:rPr>
      </w:pPr>
    </w:p>
    <w:p w14:paraId="47817890" w14:textId="77777777" w:rsidR="00D01563" w:rsidRDefault="00D01563" w:rsidP="00D0156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1687"/>
        <w:gridCol w:w="1159"/>
        <w:gridCol w:w="1050"/>
        <w:gridCol w:w="3106"/>
        <w:gridCol w:w="2055"/>
        <w:gridCol w:w="1496"/>
        <w:gridCol w:w="1507"/>
      </w:tblGrid>
      <w:tr w:rsidR="001942AF" w:rsidRPr="00D03891" w14:paraId="4781789A" w14:textId="77777777" w:rsidTr="00145311">
        <w:tc>
          <w:tcPr>
            <w:tcW w:w="1888" w:type="dxa"/>
          </w:tcPr>
          <w:p w14:paraId="47817891" w14:textId="77777777" w:rsidR="001942AF" w:rsidRPr="00D03891" w:rsidRDefault="001942AF" w:rsidP="00B24B54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b/>
                <w:sz w:val="22"/>
                <w:szCs w:val="22"/>
                <w:lang w:val="en-GB"/>
              </w:rPr>
              <w:lastRenderedPageBreak/>
              <w:t>Area</w:t>
            </w:r>
          </w:p>
        </w:tc>
        <w:tc>
          <w:tcPr>
            <w:tcW w:w="1687" w:type="dxa"/>
          </w:tcPr>
          <w:p w14:paraId="47817892" w14:textId="77777777" w:rsidR="001942AF" w:rsidRPr="00D03891" w:rsidRDefault="001942AF" w:rsidP="00B24B54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b/>
                <w:sz w:val="22"/>
                <w:szCs w:val="22"/>
                <w:lang w:val="en-GB"/>
              </w:rPr>
              <w:t>Risk(s) Identified</w:t>
            </w:r>
          </w:p>
        </w:tc>
        <w:tc>
          <w:tcPr>
            <w:tcW w:w="1159" w:type="dxa"/>
          </w:tcPr>
          <w:p w14:paraId="47817893" w14:textId="77777777" w:rsidR="001942AF" w:rsidRPr="00D03891" w:rsidRDefault="001942AF" w:rsidP="00B24B54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Risk Level </w:t>
            </w:r>
          </w:p>
        </w:tc>
        <w:tc>
          <w:tcPr>
            <w:tcW w:w="1050" w:type="dxa"/>
          </w:tcPr>
          <w:p w14:paraId="47817894" w14:textId="77777777" w:rsidR="001942AF" w:rsidRPr="00D03891" w:rsidRDefault="001942AF" w:rsidP="00B24B54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b/>
                <w:sz w:val="22"/>
                <w:szCs w:val="22"/>
                <w:lang w:val="en-GB"/>
              </w:rPr>
              <w:t>Potential Impact</w:t>
            </w:r>
          </w:p>
          <w:p w14:paraId="47817895" w14:textId="77777777" w:rsidR="001942AF" w:rsidRPr="00D03891" w:rsidRDefault="001942AF" w:rsidP="00B24B54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3106" w:type="dxa"/>
          </w:tcPr>
          <w:p w14:paraId="47817896" w14:textId="77777777" w:rsidR="001942AF" w:rsidRPr="00D03891" w:rsidRDefault="001942AF" w:rsidP="00B24B54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b/>
                <w:sz w:val="22"/>
                <w:szCs w:val="22"/>
                <w:lang w:val="en-GB"/>
              </w:rPr>
              <w:t>Management/Control of Risk</w:t>
            </w:r>
          </w:p>
        </w:tc>
        <w:tc>
          <w:tcPr>
            <w:tcW w:w="2055" w:type="dxa"/>
          </w:tcPr>
          <w:p w14:paraId="47817897" w14:textId="77777777" w:rsidR="001942AF" w:rsidRPr="00D03891" w:rsidRDefault="001942AF" w:rsidP="00B24B54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b/>
                <w:sz w:val="22"/>
                <w:szCs w:val="22"/>
                <w:lang w:val="en-GB"/>
              </w:rPr>
              <w:t>Action Required</w:t>
            </w:r>
          </w:p>
        </w:tc>
        <w:tc>
          <w:tcPr>
            <w:tcW w:w="1496" w:type="dxa"/>
          </w:tcPr>
          <w:p w14:paraId="47817898" w14:textId="77777777" w:rsidR="001942AF" w:rsidRPr="00D03891" w:rsidRDefault="001942AF" w:rsidP="00B24B54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Responsibility and due date</w:t>
            </w:r>
          </w:p>
        </w:tc>
        <w:tc>
          <w:tcPr>
            <w:tcW w:w="1507" w:type="dxa"/>
          </w:tcPr>
          <w:p w14:paraId="47817899" w14:textId="77777777" w:rsidR="001942AF" w:rsidRPr="00D03891" w:rsidRDefault="001942AF" w:rsidP="00B24B54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Completed</w:t>
            </w:r>
          </w:p>
        </w:tc>
      </w:tr>
      <w:tr w:rsidR="003B150E" w:rsidRPr="00D03891" w14:paraId="478178A3" w14:textId="77777777" w:rsidTr="00145311">
        <w:tc>
          <w:tcPr>
            <w:tcW w:w="1888" w:type="dxa"/>
          </w:tcPr>
          <w:p w14:paraId="4781789B" w14:textId="77777777" w:rsidR="001942AF" w:rsidRPr="00D03891" w:rsidRDefault="001942AF" w:rsidP="00B24B54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b/>
                <w:sz w:val="22"/>
                <w:szCs w:val="22"/>
                <w:lang w:val="en-GB"/>
              </w:rPr>
              <w:t>Assets</w:t>
            </w:r>
          </w:p>
        </w:tc>
        <w:tc>
          <w:tcPr>
            <w:tcW w:w="1687" w:type="dxa"/>
            <w:shd w:val="clear" w:color="auto" w:fill="BFBFBF" w:themeFill="background1" w:themeFillShade="BF"/>
          </w:tcPr>
          <w:p w14:paraId="4781789C" w14:textId="77777777" w:rsidR="001942AF" w:rsidRPr="00D03891" w:rsidRDefault="001942AF" w:rsidP="00B24B54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159" w:type="dxa"/>
            <w:shd w:val="clear" w:color="auto" w:fill="BFBFBF" w:themeFill="background1" w:themeFillShade="BF"/>
          </w:tcPr>
          <w:p w14:paraId="4781789D" w14:textId="77777777" w:rsidR="001942AF" w:rsidRPr="00D03891" w:rsidRDefault="001942AF" w:rsidP="00B24B54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050" w:type="dxa"/>
            <w:shd w:val="clear" w:color="auto" w:fill="BFBFBF" w:themeFill="background1" w:themeFillShade="BF"/>
          </w:tcPr>
          <w:p w14:paraId="4781789E" w14:textId="77777777" w:rsidR="001942AF" w:rsidRPr="00D03891" w:rsidRDefault="001942AF" w:rsidP="00B24B54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3106" w:type="dxa"/>
            <w:shd w:val="clear" w:color="auto" w:fill="BFBFBF" w:themeFill="background1" w:themeFillShade="BF"/>
          </w:tcPr>
          <w:p w14:paraId="4781789F" w14:textId="77777777" w:rsidR="001942AF" w:rsidRPr="00D03891" w:rsidRDefault="001942AF" w:rsidP="00B24B54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055" w:type="dxa"/>
            <w:shd w:val="clear" w:color="auto" w:fill="BFBFBF" w:themeFill="background1" w:themeFillShade="BF"/>
          </w:tcPr>
          <w:p w14:paraId="478178A0" w14:textId="77777777" w:rsidR="001942AF" w:rsidRPr="00D03891" w:rsidRDefault="001942AF" w:rsidP="00B24B54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496" w:type="dxa"/>
            <w:shd w:val="clear" w:color="auto" w:fill="BFBFBF" w:themeFill="background1" w:themeFillShade="BF"/>
          </w:tcPr>
          <w:p w14:paraId="478178A1" w14:textId="77777777" w:rsidR="001942AF" w:rsidRPr="00D03891" w:rsidRDefault="001942AF" w:rsidP="00B24B54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507" w:type="dxa"/>
            <w:shd w:val="clear" w:color="auto" w:fill="BFBFBF" w:themeFill="background1" w:themeFillShade="BF"/>
          </w:tcPr>
          <w:p w14:paraId="478178A2" w14:textId="77777777" w:rsidR="001942AF" w:rsidRPr="00D03891" w:rsidRDefault="001942AF" w:rsidP="00B24B54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1942AF" w:rsidRPr="00D03891" w14:paraId="478178AF" w14:textId="77777777" w:rsidTr="00145311">
        <w:tc>
          <w:tcPr>
            <w:tcW w:w="1888" w:type="dxa"/>
          </w:tcPr>
          <w:p w14:paraId="478178A4" w14:textId="77777777" w:rsidR="001942AF" w:rsidRPr="00D03891" w:rsidRDefault="001942AF" w:rsidP="001942AF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Insurance</w:t>
            </w:r>
          </w:p>
        </w:tc>
        <w:tc>
          <w:tcPr>
            <w:tcW w:w="1687" w:type="dxa"/>
          </w:tcPr>
          <w:p w14:paraId="478178A5" w14:textId="77777777" w:rsidR="001942AF" w:rsidRPr="00D03891" w:rsidRDefault="001942AF" w:rsidP="001942AF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 xml:space="preserve">Inadequate cover or over insurance increasing costs unnecessarily. </w:t>
            </w:r>
          </w:p>
        </w:tc>
        <w:tc>
          <w:tcPr>
            <w:tcW w:w="1159" w:type="dxa"/>
          </w:tcPr>
          <w:p w14:paraId="478178A6" w14:textId="77777777" w:rsidR="001942AF" w:rsidRPr="00D03891" w:rsidRDefault="001942AF" w:rsidP="001942AF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Low</w:t>
            </w:r>
          </w:p>
        </w:tc>
        <w:tc>
          <w:tcPr>
            <w:tcW w:w="1050" w:type="dxa"/>
          </w:tcPr>
          <w:p w14:paraId="478178A7" w14:textId="77777777" w:rsidR="001942AF" w:rsidRPr="00D03891" w:rsidRDefault="001942AF" w:rsidP="001942AF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High</w:t>
            </w:r>
          </w:p>
        </w:tc>
        <w:tc>
          <w:tcPr>
            <w:tcW w:w="3106" w:type="dxa"/>
          </w:tcPr>
          <w:p w14:paraId="478178A8" w14:textId="77777777" w:rsidR="001942AF" w:rsidRDefault="001942AF" w:rsidP="001942AF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I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 xml:space="preserve">nsurance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cover reviewed annually 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with brokers.</w:t>
            </w:r>
          </w:p>
          <w:p w14:paraId="478178A9" w14:textId="77777777" w:rsidR="001942AF" w:rsidRPr="00D03891" w:rsidRDefault="001942AF" w:rsidP="001942AF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Buildings reinstatem</w:t>
            </w:r>
            <w:r w:rsidR="00F018E8">
              <w:rPr>
                <w:rFonts w:ascii="Calibri" w:hAnsi="Calibri"/>
                <w:sz w:val="22"/>
                <w:szCs w:val="22"/>
                <w:lang w:val="en-GB"/>
              </w:rPr>
              <w:t>ent survey carried out July 2022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which removes under-insurance clause on buildings. </w:t>
            </w:r>
          </w:p>
          <w:p w14:paraId="478178AA" w14:textId="77777777" w:rsidR="001942AF" w:rsidRDefault="001942AF" w:rsidP="001942AF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 xml:space="preserve">Annual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review of asset register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  <w:p w14:paraId="478178AB" w14:textId="77777777" w:rsidR="00295B9C" w:rsidRPr="00D03891" w:rsidRDefault="00295B9C" w:rsidP="001942AF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55" w:type="dxa"/>
          </w:tcPr>
          <w:p w14:paraId="478178AC" w14:textId="77777777" w:rsidR="001942AF" w:rsidRPr="00D03891" w:rsidRDefault="00C76907" w:rsidP="001942AF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Maintain existing procedures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1496" w:type="dxa"/>
          </w:tcPr>
          <w:p w14:paraId="478178AD" w14:textId="77777777" w:rsidR="001942AF" w:rsidRPr="00D03891" w:rsidRDefault="00295B9C" w:rsidP="001942AF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1507" w:type="dxa"/>
          </w:tcPr>
          <w:p w14:paraId="478178AE" w14:textId="77777777" w:rsidR="001942AF" w:rsidRPr="00D03891" w:rsidRDefault="00295B9C" w:rsidP="001942AF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</w:tr>
      <w:tr w:rsidR="001942AF" w:rsidRPr="00D03891" w14:paraId="478178BE" w14:textId="77777777" w:rsidTr="00145311">
        <w:tc>
          <w:tcPr>
            <w:tcW w:w="1888" w:type="dxa"/>
          </w:tcPr>
          <w:p w14:paraId="478178B0" w14:textId="77777777" w:rsidR="001942AF" w:rsidRDefault="001942AF" w:rsidP="00B24B5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Security of buildings/property</w:t>
            </w:r>
          </w:p>
          <w:p w14:paraId="478178B1" w14:textId="77777777" w:rsidR="001942AF" w:rsidRPr="00D03891" w:rsidRDefault="001942AF" w:rsidP="00B24B5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687" w:type="dxa"/>
          </w:tcPr>
          <w:p w14:paraId="478178B2" w14:textId="77777777" w:rsidR="001942AF" w:rsidRPr="00D03891" w:rsidRDefault="001942AF" w:rsidP="00B24B5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Vandalism, theft, fire, flood, leaks, weather and accidental damage.</w:t>
            </w:r>
          </w:p>
          <w:p w14:paraId="478178B3" w14:textId="77777777" w:rsidR="001942AF" w:rsidRPr="00D03891" w:rsidRDefault="001942AF" w:rsidP="00B24B5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159" w:type="dxa"/>
          </w:tcPr>
          <w:p w14:paraId="478178B4" w14:textId="77777777" w:rsidR="001942AF" w:rsidRPr="00D03891" w:rsidRDefault="001942AF" w:rsidP="00B24B5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Medium</w:t>
            </w:r>
          </w:p>
        </w:tc>
        <w:tc>
          <w:tcPr>
            <w:tcW w:w="1050" w:type="dxa"/>
          </w:tcPr>
          <w:p w14:paraId="478178B5" w14:textId="77777777" w:rsidR="001942AF" w:rsidRPr="00D03891" w:rsidRDefault="00C97FC2" w:rsidP="00B24B5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High</w:t>
            </w:r>
          </w:p>
        </w:tc>
        <w:tc>
          <w:tcPr>
            <w:tcW w:w="3106" w:type="dxa"/>
          </w:tcPr>
          <w:p w14:paraId="478178B6" w14:textId="77777777" w:rsidR="001942AF" w:rsidRPr="00D03891" w:rsidRDefault="001942AF" w:rsidP="00B24B5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All buildings/properties and contents are 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 xml:space="preserve">insured.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Insurance is reviewed annually.</w:t>
            </w:r>
          </w:p>
          <w:p w14:paraId="478178B7" w14:textId="77777777" w:rsidR="001942AF" w:rsidRPr="00D03891" w:rsidRDefault="001942AF" w:rsidP="001942AF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 xml:space="preserve">Buildings secured outside working hours.  </w:t>
            </w:r>
          </w:p>
          <w:p w14:paraId="478178B8" w14:textId="3733A7BA" w:rsidR="001942AF" w:rsidRDefault="001942AF" w:rsidP="00B24B5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Burglar alarm systems </w:t>
            </w:r>
            <w:r w:rsidR="00AB0F42">
              <w:rPr>
                <w:rFonts w:ascii="Calibri" w:hAnsi="Calibri"/>
                <w:sz w:val="22"/>
                <w:szCs w:val="22"/>
                <w:lang w:val="en-GB"/>
              </w:rPr>
              <w:t>and CCTV installed at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Guildhall.</w:t>
            </w:r>
          </w:p>
          <w:p w14:paraId="478178B9" w14:textId="77777777" w:rsidR="001942AF" w:rsidRDefault="001942AF" w:rsidP="00B24B5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Fire alarm systems in all properties.</w:t>
            </w:r>
            <w:r w:rsidR="00295B9C">
              <w:rPr>
                <w:rFonts w:ascii="Calibri" w:hAnsi="Calibri"/>
                <w:sz w:val="22"/>
                <w:szCs w:val="22"/>
                <w:lang w:val="en-GB"/>
              </w:rPr>
              <w:t xml:space="preserve"> Regular fire alarm checks carried out. Annual servicing of fire extinguishers</w:t>
            </w:r>
          </w:p>
          <w:p w14:paraId="478178BA" w14:textId="77777777" w:rsidR="001942AF" w:rsidRPr="00D03891" w:rsidRDefault="001942AF" w:rsidP="00B24B5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55" w:type="dxa"/>
          </w:tcPr>
          <w:p w14:paraId="478178BB" w14:textId="77777777" w:rsidR="001942AF" w:rsidRPr="00D03891" w:rsidRDefault="00C76907" w:rsidP="00B24B5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Maintain existing procedures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1496" w:type="dxa"/>
          </w:tcPr>
          <w:p w14:paraId="478178BC" w14:textId="77777777" w:rsidR="00295B9C" w:rsidRPr="00D03891" w:rsidRDefault="00295B9C" w:rsidP="00295B9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1507" w:type="dxa"/>
          </w:tcPr>
          <w:p w14:paraId="478178BD" w14:textId="77777777" w:rsidR="001942AF" w:rsidRPr="00D03891" w:rsidRDefault="00295B9C" w:rsidP="00B24B5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</w:tr>
      <w:tr w:rsidR="001942AF" w:rsidRPr="00D03891" w14:paraId="478178CA" w14:textId="77777777" w:rsidTr="00145311">
        <w:tc>
          <w:tcPr>
            <w:tcW w:w="1888" w:type="dxa"/>
          </w:tcPr>
          <w:p w14:paraId="478178BF" w14:textId="77777777" w:rsidR="001942AF" w:rsidRPr="00D03891" w:rsidRDefault="001942AF" w:rsidP="00B24B5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Maintenance of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 xml:space="preserve"> assets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1687" w:type="dxa"/>
          </w:tcPr>
          <w:p w14:paraId="478178C0" w14:textId="77777777" w:rsidR="001942AF" w:rsidRPr="00D03891" w:rsidRDefault="001942AF" w:rsidP="00B24B5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Inadequate maintenance of buildings etc.</w:t>
            </w:r>
          </w:p>
        </w:tc>
        <w:tc>
          <w:tcPr>
            <w:tcW w:w="1159" w:type="dxa"/>
          </w:tcPr>
          <w:p w14:paraId="478178C1" w14:textId="77777777" w:rsidR="001942AF" w:rsidRPr="00D03891" w:rsidRDefault="001942AF" w:rsidP="00B24B5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Low</w:t>
            </w:r>
          </w:p>
        </w:tc>
        <w:tc>
          <w:tcPr>
            <w:tcW w:w="1050" w:type="dxa"/>
          </w:tcPr>
          <w:p w14:paraId="478178C2" w14:textId="77777777" w:rsidR="001942AF" w:rsidRPr="00D03891" w:rsidRDefault="001942AF" w:rsidP="00B24B5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Low</w:t>
            </w:r>
          </w:p>
        </w:tc>
        <w:tc>
          <w:tcPr>
            <w:tcW w:w="3106" w:type="dxa"/>
          </w:tcPr>
          <w:p w14:paraId="478178C3" w14:textId="77777777" w:rsidR="006221FA" w:rsidRDefault="006221FA" w:rsidP="007D623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Buildings conditions survey carried out</w:t>
            </w:r>
            <w:r w:rsidR="00295B9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in January 2018</w:t>
            </w:r>
            <w:r w:rsidR="007D623C">
              <w:rPr>
                <w:rFonts w:ascii="Calibri" w:hAnsi="Calibri"/>
                <w:sz w:val="22"/>
                <w:szCs w:val="22"/>
                <w:lang w:val="en-GB"/>
              </w:rPr>
              <w:t xml:space="preserve"> and all appropriate recommendations </w:t>
            </w:r>
            <w:r w:rsidR="00F018E8">
              <w:rPr>
                <w:rFonts w:ascii="Calibri" w:hAnsi="Calibri"/>
                <w:sz w:val="22"/>
                <w:szCs w:val="22"/>
                <w:lang w:val="en-GB"/>
              </w:rPr>
              <w:t xml:space="preserve">were </w:t>
            </w:r>
            <w:r w:rsidR="007D623C">
              <w:rPr>
                <w:rFonts w:ascii="Calibri" w:hAnsi="Calibri"/>
                <w:sz w:val="22"/>
                <w:szCs w:val="22"/>
                <w:lang w:val="en-GB"/>
              </w:rPr>
              <w:t>actioned.</w:t>
            </w:r>
          </w:p>
          <w:p w14:paraId="6DD12167" w14:textId="7FC3C9B3" w:rsidR="007D623C" w:rsidRDefault="00F018E8" w:rsidP="00F018E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The 202</w:t>
            </w:r>
            <w:r w:rsidR="008E62DC">
              <w:rPr>
                <w:rFonts w:ascii="Calibri" w:hAnsi="Calibri"/>
                <w:sz w:val="22"/>
                <w:szCs w:val="22"/>
                <w:lang w:val="en-GB"/>
              </w:rPr>
              <w:t>4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/2</w:t>
            </w:r>
            <w:r w:rsidR="008E62DC">
              <w:rPr>
                <w:rFonts w:ascii="Calibri" w:hAnsi="Calibri"/>
                <w:sz w:val="22"/>
                <w:szCs w:val="22"/>
                <w:lang w:val="en-GB"/>
              </w:rPr>
              <w:t>5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budget includes allocations for r</w:t>
            </w:r>
            <w:r w:rsidRPr="00F018E8">
              <w:rPr>
                <w:rFonts w:ascii="Calibri" w:hAnsi="Calibri"/>
                <w:sz w:val="22"/>
                <w:szCs w:val="22"/>
                <w:lang w:val="en-GB"/>
              </w:rPr>
              <w:t>eplac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ing the Civic Hall Annexe </w:t>
            </w:r>
            <w:r w:rsidRPr="00F018E8">
              <w:rPr>
                <w:rFonts w:ascii="Calibri" w:hAnsi="Calibri"/>
                <w:sz w:val="22"/>
                <w:szCs w:val="22"/>
                <w:lang w:val="en-GB"/>
              </w:rPr>
              <w:t xml:space="preserve">roof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and the Chapel roof as well as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lastRenderedPageBreak/>
              <w:t>allocations for general maintenance of all the Council’s buildings</w:t>
            </w:r>
            <w:r w:rsidR="007D623C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  <w:p w14:paraId="478178C4" w14:textId="4F7C12A3" w:rsidR="00AB0F42" w:rsidRPr="00D03891" w:rsidRDefault="00AB0F42" w:rsidP="00F018E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The Town Maintenance Officer (TMO) has responsibility</w:t>
            </w:r>
            <w:r w:rsidRPr="00AB0F42">
              <w:rPr>
                <w:rFonts w:ascii="Calibri" w:hAnsi="Calibri"/>
                <w:sz w:val="22"/>
                <w:szCs w:val="22"/>
                <w:lang w:val="en-GB"/>
              </w:rPr>
              <w:t xml:space="preserve"> for the Town Council’s facilities, buildings and assets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specified in his job description and carries out regular monitoring checks.</w:t>
            </w:r>
          </w:p>
        </w:tc>
        <w:tc>
          <w:tcPr>
            <w:tcW w:w="2055" w:type="dxa"/>
          </w:tcPr>
          <w:p w14:paraId="478178C5" w14:textId="6A9FA8CF" w:rsidR="001942AF" w:rsidRPr="00D03891" w:rsidRDefault="007D623C" w:rsidP="001942AF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lastRenderedPageBreak/>
              <w:t xml:space="preserve">Continue to monitor the conditions of the buildings and consider the need for a new conditions survey </w:t>
            </w:r>
            <w:r w:rsidR="00AB0F42">
              <w:rPr>
                <w:rFonts w:ascii="Calibri" w:hAnsi="Calibri"/>
                <w:sz w:val="22"/>
                <w:szCs w:val="22"/>
                <w:lang w:val="en-GB"/>
              </w:rPr>
              <w:t>when appropriate.</w:t>
            </w:r>
          </w:p>
        </w:tc>
        <w:tc>
          <w:tcPr>
            <w:tcW w:w="1496" w:type="dxa"/>
          </w:tcPr>
          <w:p w14:paraId="478178C6" w14:textId="77777777" w:rsidR="00295B9C" w:rsidRDefault="00AD6E24" w:rsidP="00295B9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Clerk &amp; TMO</w:t>
            </w:r>
          </w:p>
          <w:p w14:paraId="478178C7" w14:textId="77777777" w:rsidR="00E608E4" w:rsidRDefault="00E608E4" w:rsidP="00295B9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78178C8" w14:textId="77777777" w:rsidR="001942AF" w:rsidRDefault="001942AF" w:rsidP="00B24B5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507" w:type="dxa"/>
          </w:tcPr>
          <w:p w14:paraId="478178C9" w14:textId="77777777" w:rsidR="00CC54BA" w:rsidRDefault="006221FA" w:rsidP="00CC54B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Ongoing.</w:t>
            </w:r>
          </w:p>
        </w:tc>
      </w:tr>
      <w:tr w:rsidR="001942AF" w:rsidRPr="00D03891" w14:paraId="478178D5" w14:textId="77777777" w:rsidTr="00145311">
        <w:trPr>
          <w:trHeight w:val="1975"/>
        </w:trPr>
        <w:tc>
          <w:tcPr>
            <w:tcW w:w="1888" w:type="dxa"/>
          </w:tcPr>
          <w:p w14:paraId="478178CB" w14:textId="77777777" w:rsidR="001942AF" w:rsidRPr="00D03891" w:rsidRDefault="001942AF" w:rsidP="00B24B5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Security of valuables </w:t>
            </w:r>
            <w:r w:rsidR="009944B3">
              <w:rPr>
                <w:rFonts w:ascii="Calibri" w:hAnsi="Calibri"/>
                <w:sz w:val="22"/>
                <w:szCs w:val="22"/>
                <w:lang w:val="en-GB"/>
              </w:rPr>
              <w:t xml:space="preserve">and cash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(e.g. civic regalia)</w:t>
            </w:r>
          </w:p>
        </w:tc>
        <w:tc>
          <w:tcPr>
            <w:tcW w:w="1687" w:type="dxa"/>
          </w:tcPr>
          <w:p w14:paraId="478178CC" w14:textId="77777777" w:rsidR="001942AF" w:rsidRPr="00D03891" w:rsidRDefault="001942AF" w:rsidP="00B24B5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Loss or theft.</w:t>
            </w:r>
          </w:p>
        </w:tc>
        <w:tc>
          <w:tcPr>
            <w:tcW w:w="1159" w:type="dxa"/>
          </w:tcPr>
          <w:p w14:paraId="478178CD" w14:textId="77777777" w:rsidR="001942AF" w:rsidRPr="00D03891" w:rsidRDefault="001942AF" w:rsidP="00B24B5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Medium</w:t>
            </w:r>
          </w:p>
        </w:tc>
        <w:tc>
          <w:tcPr>
            <w:tcW w:w="1050" w:type="dxa"/>
          </w:tcPr>
          <w:p w14:paraId="478178CE" w14:textId="77777777" w:rsidR="001942AF" w:rsidRPr="00D03891" w:rsidRDefault="001942AF" w:rsidP="00B24B5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High</w:t>
            </w:r>
          </w:p>
        </w:tc>
        <w:tc>
          <w:tcPr>
            <w:tcW w:w="3106" w:type="dxa"/>
          </w:tcPr>
          <w:p w14:paraId="478178CF" w14:textId="77777777" w:rsidR="001942AF" w:rsidRDefault="009944B3" w:rsidP="009944B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All valuables and cash are 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 xml:space="preserve">insured.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Insurance is reviewed annually.</w:t>
            </w:r>
          </w:p>
          <w:p w14:paraId="478178D0" w14:textId="77777777" w:rsidR="009944B3" w:rsidRDefault="009944B3" w:rsidP="009944B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Cash </w:t>
            </w:r>
            <w:r w:rsidR="00C048ED">
              <w:rPr>
                <w:rFonts w:ascii="Calibri" w:hAnsi="Calibri"/>
                <w:sz w:val="22"/>
                <w:szCs w:val="22"/>
                <w:lang w:val="en-GB"/>
              </w:rPr>
              <w:t xml:space="preserve">and valuables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stored in locked strong room out of hours.</w:t>
            </w:r>
          </w:p>
          <w:p w14:paraId="478178D1" w14:textId="2CC8A649" w:rsidR="009944B3" w:rsidRPr="00D03891" w:rsidRDefault="009944B3" w:rsidP="009944B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Building alarmed</w:t>
            </w:r>
            <w:r w:rsidR="00AB0F42">
              <w:rPr>
                <w:rFonts w:ascii="Calibri" w:hAnsi="Calibri"/>
                <w:sz w:val="22"/>
                <w:szCs w:val="22"/>
                <w:lang w:val="en-GB"/>
              </w:rPr>
              <w:t xml:space="preserve"> and has CCTV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2055" w:type="dxa"/>
          </w:tcPr>
          <w:p w14:paraId="478178D2" w14:textId="77777777" w:rsidR="001942AF" w:rsidRPr="00D03891" w:rsidRDefault="00C76907" w:rsidP="00B24B5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Maintain existing procedures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1496" w:type="dxa"/>
          </w:tcPr>
          <w:p w14:paraId="478178D3" w14:textId="77777777" w:rsidR="001942AF" w:rsidRPr="00D03891" w:rsidRDefault="00295B9C" w:rsidP="00B24B5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1507" w:type="dxa"/>
          </w:tcPr>
          <w:p w14:paraId="478178D4" w14:textId="77777777" w:rsidR="001942AF" w:rsidRPr="00D03891" w:rsidRDefault="00295B9C" w:rsidP="00B24B5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</w:tr>
      <w:tr w:rsidR="003B150E" w:rsidRPr="00D03891" w14:paraId="478178DE" w14:textId="77777777" w:rsidTr="00145311">
        <w:tc>
          <w:tcPr>
            <w:tcW w:w="1888" w:type="dxa"/>
            <w:tcBorders>
              <w:bottom w:val="single" w:sz="4" w:space="0" w:color="auto"/>
            </w:tcBorders>
          </w:tcPr>
          <w:p w14:paraId="478178D6" w14:textId="77777777" w:rsidR="001942AF" w:rsidRPr="00D03891" w:rsidRDefault="001942AF" w:rsidP="00B24B54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b/>
                <w:sz w:val="22"/>
                <w:szCs w:val="22"/>
                <w:lang w:val="en-GB"/>
              </w:rPr>
              <w:t>Finance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8178D7" w14:textId="77777777" w:rsidR="001942AF" w:rsidRPr="00D03891" w:rsidRDefault="001942AF" w:rsidP="00B24B5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8178D8" w14:textId="77777777" w:rsidR="001942AF" w:rsidRPr="00D03891" w:rsidRDefault="001942AF" w:rsidP="00B24B5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8178D9" w14:textId="77777777" w:rsidR="001942AF" w:rsidRPr="00D03891" w:rsidRDefault="001942AF" w:rsidP="00B24B5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8178DA" w14:textId="77777777" w:rsidR="001942AF" w:rsidRPr="00D03891" w:rsidRDefault="001942AF" w:rsidP="00B24B5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8178DB" w14:textId="77777777" w:rsidR="001942AF" w:rsidRPr="00D03891" w:rsidRDefault="001942AF" w:rsidP="00B24B5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8178DC" w14:textId="77777777" w:rsidR="001942AF" w:rsidRPr="00D03891" w:rsidRDefault="001942AF" w:rsidP="00B24B5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8178DD" w14:textId="77777777" w:rsidR="001942AF" w:rsidRPr="00D03891" w:rsidRDefault="001942AF" w:rsidP="00B24B5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45311" w:rsidRPr="00D03891" w14:paraId="478178EF" w14:textId="77777777" w:rsidTr="00145311">
        <w:tc>
          <w:tcPr>
            <w:tcW w:w="1888" w:type="dxa"/>
          </w:tcPr>
          <w:p w14:paraId="478178DF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Adequacy of 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 xml:space="preserve">Precept </w:t>
            </w:r>
          </w:p>
        </w:tc>
        <w:tc>
          <w:tcPr>
            <w:tcW w:w="1687" w:type="dxa"/>
          </w:tcPr>
          <w:p w14:paraId="478178E0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Precept sum inadequate.</w:t>
            </w:r>
          </w:p>
          <w:p w14:paraId="478178E1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Requirement not submitted in time.</w:t>
            </w:r>
          </w:p>
        </w:tc>
        <w:tc>
          <w:tcPr>
            <w:tcW w:w="1159" w:type="dxa"/>
          </w:tcPr>
          <w:p w14:paraId="478178E2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L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ow</w:t>
            </w:r>
          </w:p>
        </w:tc>
        <w:tc>
          <w:tcPr>
            <w:tcW w:w="1050" w:type="dxa"/>
          </w:tcPr>
          <w:p w14:paraId="478178E3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Medium</w:t>
            </w:r>
          </w:p>
        </w:tc>
        <w:tc>
          <w:tcPr>
            <w:tcW w:w="3106" w:type="dxa"/>
          </w:tcPr>
          <w:p w14:paraId="478178E4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 xml:space="preserve">Budget and Precept considered by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Council Matters 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 xml:space="preserve">Committee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in December and F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 xml:space="preserve">ull Council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in January 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each year.</w:t>
            </w:r>
          </w:p>
          <w:p w14:paraId="478178E5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Precept is set as a result of a full report detailing requirements for the forthcoming year has been reviewed by the Council Matters 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Committee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  <w:p w14:paraId="478178E6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The precept deadline is noted and complied with by the RFO.</w:t>
            </w:r>
          </w:p>
          <w:p w14:paraId="478178E7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78178E8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The adequacy of reserves are reviewed annually at year end.</w:t>
            </w:r>
          </w:p>
          <w:p w14:paraId="478178E9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78178EB" w14:textId="614A4C6F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Charges are reviewed annually.</w:t>
            </w:r>
          </w:p>
        </w:tc>
        <w:tc>
          <w:tcPr>
            <w:tcW w:w="2055" w:type="dxa"/>
          </w:tcPr>
          <w:p w14:paraId="478178EC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Maintain existing procedures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1496" w:type="dxa"/>
          </w:tcPr>
          <w:p w14:paraId="478178ED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1507" w:type="dxa"/>
          </w:tcPr>
          <w:p w14:paraId="478178EE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</w:tr>
      <w:tr w:rsidR="00145311" w:rsidRPr="00D03891" w14:paraId="478178FA" w14:textId="77777777" w:rsidTr="00145311">
        <w:tc>
          <w:tcPr>
            <w:tcW w:w="1888" w:type="dxa"/>
          </w:tcPr>
          <w:p w14:paraId="478178F0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lastRenderedPageBreak/>
              <w:t>Budget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ary Process</w:t>
            </w:r>
          </w:p>
        </w:tc>
        <w:tc>
          <w:tcPr>
            <w:tcW w:w="1687" w:type="dxa"/>
          </w:tcPr>
          <w:p w14:paraId="478178F1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Inadequate budget preparation leading to inability to fulfil obligations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  <w:p w14:paraId="478178F2" w14:textId="77777777" w:rsidR="00C048ED" w:rsidRPr="00D03891" w:rsidRDefault="00C048ED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159" w:type="dxa"/>
          </w:tcPr>
          <w:p w14:paraId="478178F3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Low</w:t>
            </w:r>
          </w:p>
        </w:tc>
        <w:tc>
          <w:tcPr>
            <w:tcW w:w="1050" w:type="dxa"/>
          </w:tcPr>
          <w:p w14:paraId="478178F4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Medium</w:t>
            </w:r>
          </w:p>
        </w:tc>
        <w:tc>
          <w:tcPr>
            <w:tcW w:w="3106" w:type="dxa"/>
          </w:tcPr>
          <w:p w14:paraId="478178F5" w14:textId="77777777" w:rsidR="00145311" w:rsidRDefault="00145311" w:rsidP="00A240BD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A </w:t>
            </w:r>
            <w:r w:rsidR="00A240BD">
              <w:rPr>
                <w:rFonts w:ascii="Calibri" w:hAnsi="Calibri"/>
                <w:sz w:val="22"/>
                <w:szCs w:val="22"/>
                <w:lang w:val="en-GB"/>
              </w:rPr>
              <w:t xml:space="preserve">fully costed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b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 xml:space="preserve">udget </w:t>
            </w:r>
            <w:r w:rsidR="00A240BD">
              <w:rPr>
                <w:rFonts w:ascii="Calibri" w:hAnsi="Calibri"/>
                <w:sz w:val="22"/>
                <w:szCs w:val="22"/>
                <w:lang w:val="en-GB"/>
              </w:rPr>
              <w:t xml:space="preserve">proposal with alternative precept options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is 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 xml:space="preserve">considered by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Council Matters 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Committee and Full Council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annually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  <w:r w:rsidR="00A240BD">
              <w:rPr>
                <w:rFonts w:ascii="Calibri" w:hAnsi="Calibri"/>
                <w:sz w:val="22"/>
                <w:szCs w:val="22"/>
                <w:lang w:val="en-GB"/>
              </w:rPr>
              <w:t xml:space="preserve"> The impact of the different precept options on proposed activities of the council are considered.</w:t>
            </w:r>
          </w:p>
          <w:p w14:paraId="478178F6" w14:textId="77777777" w:rsidR="0063064A" w:rsidRPr="00D03891" w:rsidRDefault="0063064A" w:rsidP="00A240BD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55" w:type="dxa"/>
          </w:tcPr>
          <w:p w14:paraId="478178F7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Maintain existing procedures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1496" w:type="dxa"/>
          </w:tcPr>
          <w:p w14:paraId="478178F8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1507" w:type="dxa"/>
          </w:tcPr>
          <w:p w14:paraId="478178F9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</w:tr>
      <w:tr w:rsidR="00145311" w:rsidRPr="00D03891" w14:paraId="47817904" w14:textId="77777777" w:rsidTr="00145311">
        <w:tc>
          <w:tcPr>
            <w:tcW w:w="1888" w:type="dxa"/>
            <w:shd w:val="clear" w:color="auto" w:fill="auto"/>
          </w:tcPr>
          <w:p w14:paraId="478178FB" w14:textId="77777777" w:rsidR="00145311" w:rsidRPr="00D01563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Security of Funds at Bank</w:t>
            </w:r>
          </w:p>
        </w:tc>
        <w:tc>
          <w:tcPr>
            <w:tcW w:w="1687" w:type="dxa"/>
            <w:shd w:val="clear" w:color="auto" w:fill="auto"/>
          </w:tcPr>
          <w:p w14:paraId="478178FC" w14:textId="77777777" w:rsidR="00145311" w:rsidRPr="00D01563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1563">
              <w:rPr>
                <w:rFonts w:ascii="Calibri" w:hAnsi="Calibri"/>
                <w:sz w:val="22"/>
                <w:szCs w:val="22"/>
                <w:lang w:val="en-GB"/>
              </w:rPr>
              <w:t>Failure of bank</w:t>
            </w:r>
          </w:p>
        </w:tc>
        <w:tc>
          <w:tcPr>
            <w:tcW w:w="1159" w:type="dxa"/>
            <w:shd w:val="clear" w:color="auto" w:fill="auto"/>
          </w:tcPr>
          <w:p w14:paraId="478178FD" w14:textId="77777777" w:rsidR="00145311" w:rsidRPr="00D01563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1563">
              <w:rPr>
                <w:rFonts w:ascii="Calibri" w:hAnsi="Calibri"/>
                <w:sz w:val="22"/>
                <w:szCs w:val="22"/>
                <w:lang w:val="en-GB"/>
              </w:rPr>
              <w:t>Low</w:t>
            </w:r>
          </w:p>
        </w:tc>
        <w:tc>
          <w:tcPr>
            <w:tcW w:w="1050" w:type="dxa"/>
            <w:shd w:val="clear" w:color="auto" w:fill="auto"/>
          </w:tcPr>
          <w:p w14:paraId="478178FE" w14:textId="77777777" w:rsidR="00145311" w:rsidRPr="00D01563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1563">
              <w:rPr>
                <w:rFonts w:ascii="Calibri" w:hAnsi="Calibri"/>
                <w:sz w:val="22"/>
                <w:szCs w:val="22"/>
                <w:lang w:val="en-GB"/>
              </w:rPr>
              <w:t>High</w:t>
            </w:r>
          </w:p>
        </w:tc>
        <w:tc>
          <w:tcPr>
            <w:tcW w:w="3106" w:type="dxa"/>
            <w:shd w:val="clear" w:color="auto" w:fill="auto"/>
          </w:tcPr>
          <w:p w14:paraId="669C9566" w14:textId="77777777" w:rsidR="002567B8" w:rsidRDefault="0063064A" w:rsidP="0063064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The Council’s Bank is a large high street bank which has </w:t>
            </w:r>
            <w:r w:rsidR="00145311">
              <w:rPr>
                <w:rFonts w:asciiTheme="minorHAnsi" w:hAnsiTheme="minorHAnsi"/>
                <w:sz w:val="22"/>
                <w:szCs w:val="22"/>
                <w:lang w:val="en-GB"/>
              </w:rPr>
              <w:t>the minimum credit rating specified in the Financial Regulations</w:t>
            </w:r>
            <w:r w:rsidR="00F018E8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  <w:p w14:paraId="478178FF" w14:textId="020DD529" w:rsidR="00145311" w:rsidRDefault="002567B8" w:rsidP="0063064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Invested funds are only placed in interest bearing savings accounts with FSCS approved organisations.</w:t>
            </w:r>
          </w:p>
          <w:p w14:paraId="47817900" w14:textId="77777777" w:rsidR="0063064A" w:rsidRPr="006267E8" w:rsidRDefault="0063064A" w:rsidP="0063064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055" w:type="dxa"/>
            <w:shd w:val="clear" w:color="auto" w:fill="auto"/>
          </w:tcPr>
          <w:p w14:paraId="47817901" w14:textId="77777777" w:rsidR="00145311" w:rsidRPr="00D01563" w:rsidRDefault="0063064A" w:rsidP="0063064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None.</w:t>
            </w:r>
          </w:p>
        </w:tc>
        <w:tc>
          <w:tcPr>
            <w:tcW w:w="1496" w:type="dxa"/>
          </w:tcPr>
          <w:p w14:paraId="47817902" w14:textId="77777777" w:rsidR="00145311" w:rsidRPr="00D01563" w:rsidRDefault="00F018E8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1507" w:type="dxa"/>
          </w:tcPr>
          <w:p w14:paraId="47817903" w14:textId="77777777" w:rsidR="00145311" w:rsidRPr="00D03891" w:rsidRDefault="0063064A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</w:tr>
      <w:tr w:rsidR="00145311" w:rsidRPr="00D03891" w14:paraId="4781790D" w14:textId="77777777" w:rsidTr="00145311">
        <w:tc>
          <w:tcPr>
            <w:tcW w:w="1888" w:type="dxa"/>
            <w:shd w:val="clear" w:color="auto" w:fill="auto"/>
          </w:tcPr>
          <w:p w14:paraId="47817905" w14:textId="77777777" w:rsidR="00145311" w:rsidRPr="00D01563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1563">
              <w:rPr>
                <w:rFonts w:ascii="Calibri" w:hAnsi="Calibri"/>
                <w:sz w:val="22"/>
                <w:szCs w:val="22"/>
                <w:lang w:val="en-GB"/>
              </w:rPr>
              <w:t>Investments</w:t>
            </w:r>
          </w:p>
        </w:tc>
        <w:tc>
          <w:tcPr>
            <w:tcW w:w="1687" w:type="dxa"/>
            <w:shd w:val="clear" w:color="auto" w:fill="auto"/>
          </w:tcPr>
          <w:p w14:paraId="47817906" w14:textId="77777777" w:rsidR="00145311" w:rsidRPr="00D01563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1563">
              <w:rPr>
                <w:rFonts w:ascii="Calibri" w:hAnsi="Calibri"/>
                <w:sz w:val="22"/>
                <w:szCs w:val="22"/>
                <w:lang w:val="en-GB"/>
              </w:rPr>
              <w:t>No Council investment policy exists</w:t>
            </w:r>
          </w:p>
        </w:tc>
        <w:tc>
          <w:tcPr>
            <w:tcW w:w="1159" w:type="dxa"/>
            <w:shd w:val="clear" w:color="auto" w:fill="auto"/>
          </w:tcPr>
          <w:p w14:paraId="47817907" w14:textId="77777777" w:rsidR="00145311" w:rsidRPr="00D01563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1563">
              <w:rPr>
                <w:rFonts w:ascii="Calibri" w:hAnsi="Calibri"/>
                <w:sz w:val="22"/>
                <w:szCs w:val="22"/>
                <w:lang w:val="en-GB"/>
              </w:rPr>
              <w:t>Low</w:t>
            </w:r>
          </w:p>
        </w:tc>
        <w:tc>
          <w:tcPr>
            <w:tcW w:w="1050" w:type="dxa"/>
            <w:shd w:val="clear" w:color="auto" w:fill="auto"/>
          </w:tcPr>
          <w:p w14:paraId="47817908" w14:textId="77777777" w:rsidR="00145311" w:rsidRPr="00D01563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Medium</w:t>
            </w:r>
          </w:p>
        </w:tc>
        <w:tc>
          <w:tcPr>
            <w:tcW w:w="3106" w:type="dxa"/>
            <w:shd w:val="clear" w:color="auto" w:fill="auto"/>
          </w:tcPr>
          <w:p w14:paraId="7A3D516A" w14:textId="77777777" w:rsidR="00145311" w:rsidRDefault="00C048ED" w:rsidP="00F018E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The </w:t>
            </w:r>
            <w:r w:rsidR="00145311" w:rsidRPr="00D01563">
              <w:rPr>
                <w:rFonts w:ascii="Calibri" w:hAnsi="Calibri"/>
                <w:sz w:val="22"/>
                <w:szCs w:val="22"/>
                <w:lang w:val="en-GB"/>
              </w:rPr>
              <w:t xml:space="preserve">Council approved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an Investment </w:t>
            </w:r>
            <w:r w:rsidR="0063064A">
              <w:rPr>
                <w:rFonts w:ascii="Calibri" w:hAnsi="Calibri"/>
                <w:sz w:val="22"/>
                <w:szCs w:val="22"/>
                <w:lang w:val="en-GB"/>
              </w:rPr>
              <w:t>strateg</w:t>
            </w:r>
            <w:r w:rsidR="00F018E8">
              <w:rPr>
                <w:rFonts w:ascii="Calibri" w:hAnsi="Calibri"/>
                <w:sz w:val="22"/>
                <w:szCs w:val="22"/>
                <w:lang w:val="en-GB"/>
              </w:rPr>
              <w:t>y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in </w:t>
            </w:r>
            <w:r w:rsidR="00F018E8">
              <w:rPr>
                <w:rFonts w:ascii="Calibri" w:hAnsi="Calibri"/>
                <w:sz w:val="22"/>
                <w:szCs w:val="22"/>
                <w:lang w:val="en-GB"/>
              </w:rPr>
              <w:t>May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20</w:t>
            </w:r>
            <w:r w:rsidR="00F018E8">
              <w:rPr>
                <w:rFonts w:ascii="Calibri" w:hAnsi="Calibri"/>
                <w:sz w:val="22"/>
                <w:szCs w:val="22"/>
                <w:lang w:val="en-GB"/>
              </w:rPr>
              <w:t>22</w:t>
            </w:r>
            <w:r w:rsidR="0063064A">
              <w:rPr>
                <w:rFonts w:ascii="Calibri" w:hAnsi="Calibri"/>
                <w:sz w:val="22"/>
                <w:szCs w:val="22"/>
                <w:lang w:val="en-GB"/>
              </w:rPr>
              <w:t xml:space="preserve"> and is scheduled for review every 2 years.</w:t>
            </w:r>
          </w:p>
          <w:p w14:paraId="47817909" w14:textId="77777777" w:rsidR="002567B8" w:rsidRPr="00D01563" w:rsidRDefault="002567B8" w:rsidP="00F018E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55" w:type="dxa"/>
            <w:shd w:val="clear" w:color="auto" w:fill="auto"/>
          </w:tcPr>
          <w:p w14:paraId="4781790A" w14:textId="77777777" w:rsidR="00145311" w:rsidRPr="00D01563" w:rsidRDefault="0063064A" w:rsidP="00C048ED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3064A">
              <w:rPr>
                <w:rFonts w:ascii="Calibri" w:hAnsi="Calibri"/>
                <w:sz w:val="22"/>
                <w:szCs w:val="22"/>
                <w:lang w:val="en-GB"/>
              </w:rPr>
              <w:t>Maintain existing procedures.</w:t>
            </w:r>
          </w:p>
        </w:tc>
        <w:tc>
          <w:tcPr>
            <w:tcW w:w="1496" w:type="dxa"/>
            <w:shd w:val="clear" w:color="auto" w:fill="auto"/>
          </w:tcPr>
          <w:p w14:paraId="4781790B" w14:textId="77777777" w:rsidR="00145311" w:rsidRPr="00D01563" w:rsidRDefault="0063064A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3064A">
              <w:rPr>
                <w:rFonts w:ascii="Calibri" w:hAnsi="Calibri"/>
                <w:sz w:val="22"/>
                <w:szCs w:val="22"/>
                <w:lang w:val="en-GB"/>
              </w:rPr>
              <w:t>Clerk &amp; Finance Manager.</w:t>
            </w:r>
          </w:p>
        </w:tc>
        <w:tc>
          <w:tcPr>
            <w:tcW w:w="1507" w:type="dxa"/>
          </w:tcPr>
          <w:p w14:paraId="4781790C" w14:textId="77777777" w:rsidR="00145311" w:rsidRPr="00D03891" w:rsidRDefault="0063064A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Ongoing</w:t>
            </w:r>
          </w:p>
        </w:tc>
      </w:tr>
      <w:tr w:rsidR="00145311" w:rsidRPr="00D03891" w14:paraId="4781791A" w14:textId="77777777" w:rsidTr="00145311">
        <w:tc>
          <w:tcPr>
            <w:tcW w:w="1888" w:type="dxa"/>
          </w:tcPr>
          <w:p w14:paraId="4781790E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Banking</w:t>
            </w:r>
          </w:p>
        </w:tc>
        <w:tc>
          <w:tcPr>
            <w:tcW w:w="1687" w:type="dxa"/>
          </w:tcPr>
          <w:p w14:paraId="4781790F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Bank errors and/or inadequate checks leading to financial irregularities.</w:t>
            </w:r>
          </w:p>
        </w:tc>
        <w:tc>
          <w:tcPr>
            <w:tcW w:w="1159" w:type="dxa"/>
          </w:tcPr>
          <w:p w14:paraId="47817910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Low</w:t>
            </w:r>
          </w:p>
        </w:tc>
        <w:tc>
          <w:tcPr>
            <w:tcW w:w="1050" w:type="dxa"/>
          </w:tcPr>
          <w:p w14:paraId="47817911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High</w:t>
            </w:r>
          </w:p>
        </w:tc>
        <w:tc>
          <w:tcPr>
            <w:tcW w:w="3106" w:type="dxa"/>
          </w:tcPr>
          <w:p w14:paraId="47817912" w14:textId="7927EAA9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 xml:space="preserve">Bank reconciliation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completed 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each month</w:t>
            </w:r>
            <w:r w:rsidR="007D623C">
              <w:rPr>
                <w:rFonts w:ascii="Calibri" w:hAnsi="Calibri"/>
                <w:sz w:val="22"/>
                <w:szCs w:val="22"/>
                <w:lang w:val="en-GB"/>
              </w:rPr>
              <w:t xml:space="preserve"> by the </w:t>
            </w:r>
            <w:r w:rsidR="00F0071D">
              <w:rPr>
                <w:rFonts w:ascii="Calibri" w:hAnsi="Calibri"/>
                <w:sz w:val="22"/>
                <w:szCs w:val="22"/>
                <w:lang w:val="en-GB"/>
              </w:rPr>
              <w:t>Finance Manager</w:t>
            </w:r>
            <w:r w:rsidR="007D623C">
              <w:rPr>
                <w:rFonts w:ascii="Calibri" w:hAnsi="Calibri"/>
                <w:sz w:val="22"/>
                <w:szCs w:val="22"/>
                <w:lang w:val="en-GB"/>
              </w:rPr>
              <w:t xml:space="preserve"> and are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reviewed by the Clerk</w:t>
            </w:r>
            <w:r w:rsidR="007D623C">
              <w:rPr>
                <w:rFonts w:ascii="Calibri" w:hAnsi="Calibri"/>
                <w:sz w:val="22"/>
                <w:szCs w:val="22"/>
                <w:lang w:val="en-GB"/>
              </w:rPr>
              <w:t xml:space="preserve">. They </w:t>
            </w:r>
            <w:r w:rsidR="00991108">
              <w:rPr>
                <w:rFonts w:ascii="Calibri" w:hAnsi="Calibri"/>
                <w:sz w:val="22"/>
                <w:szCs w:val="22"/>
                <w:lang w:val="en-GB"/>
              </w:rPr>
              <w:t xml:space="preserve">and submitted to the Council Matters </w:t>
            </w:r>
            <w:r w:rsidR="00991108" w:rsidRPr="00D03891">
              <w:rPr>
                <w:rFonts w:ascii="Calibri" w:hAnsi="Calibri"/>
                <w:sz w:val="22"/>
                <w:szCs w:val="22"/>
                <w:lang w:val="en-GB"/>
              </w:rPr>
              <w:t xml:space="preserve">Committee </w:t>
            </w:r>
            <w:r w:rsidR="007D623C">
              <w:rPr>
                <w:rFonts w:ascii="Calibri" w:hAnsi="Calibri"/>
                <w:sz w:val="22"/>
                <w:szCs w:val="22"/>
                <w:lang w:val="en-GB"/>
              </w:rPr>
              <w:t xml:space="preserve">meetings and are signed as reviewed by the Committee Chair </w:t>
            </w:r>
            <w:r w:rsidR="002567B8">
              <w:rPr>
                <w:rFonts w:ascii="Calibri" w:hAnsi="Calibri"/>
                <w:sz w:val="22"/>
                <w:szCs w:val="22"/>
                <w:lang w:val="en-GB"/>
              </w:rPr>
              <w:t xml:space="preserve">or Mayor </w:t>
            </w:r>
            <w:r w:rsidR="007D623C">
              <w:rPr>
                <w:rFonts w:ascii="Calibri" w:hAnsi="Calibri"/>
                <w:sz w:val="22"/>
                <w:szCs w:val="22"/>
                <w:lang w:val="en-GB"/>
              </w:rPr>
              <w:t>quarterly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  <w:p w14:paraId="47817913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lastRenderedPageBreak/>
              <w:t>Primary User (Clerk) and Secondary User (</w:t>
            </w:r>
            <w:r w:rsidR="00F0071D">
              <w:rPr>
                <w:rFonts w:ascii="Calibri" w:hAnsi="Calibri"/>
                <w:sz w:val="22"/>
                <w:szCs w:val="22"/>
                <w:lang w:val="en-GB"/>
              </w:rPr>
              <w:t>Finance Manager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) set up on internet banking with appropriate authorities. </w:t>
            </w:r>
          </w:p>
          <w:p w14:paraId="47817914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Suitable controls established for the Debit card use.</w:t>
            </w:r>
          </w:p>
          <w:p w14:paraId="47817915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Annual Internal Audit of controls carried out by Independent firm.</w:t>
            </w:r>
          </w:p>
          <w:p w14:paraId="47817916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55" w:type="dxa"/>
          </w:tcPr>
          <w:p w14:paraId="47817917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lastRenderedPageBreak/>
              <w:t>Maintain existing procedures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1496" w:type="dxa"/>
          </w:tcPr>
          <w:p w14:paraId="47817918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1507" w:type="dxa"/>
          </w:tcPr>
          <w:p w14:paraId="47817919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</w:tr>
      <w:tr w:rsidR="00145311" w:rsidRPr="00D03891" w14:paraId="4781792F" w14:textId="77777777" w:rsidTr="00145311">
        <w:tc>
          <w:tcPr>
            <w:tcW w:w="1888" w:type="dxa"/>
          </w:tcPr>
          <w:p w14:paraId="4781791B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Financial controls and records</w:t>
            </w:r>
          </w:p>
        </w:tc>
        <w:tc>
          <w:tcPr>
            <w:tcW w:w="1687" w:type="dxa"/>
          </w:tcPr>
          <w:p w14:paraId="4781791C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Inadequate records leading to financial irregularities.</w:t>
            </w:r>
          </w:p>
          <w:p w14:paraId="4781791D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Loss through theft or dishonesty.</w:t>
            </w:r>
          </w:p>
          <w:p w14:paraId="4781791E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Payments for good not received.</w:t>
            </w:r>
          </w:p>
          <w:p w14:paraId="4781791F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Unauthorised payments.</w:t>
            </w:r>
          </w:p>
          <w:p w14:paraId="47817920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Income due to the Council not collected or banked.</w:t>
            </w:r>
          </w:p>
        </w:tc>
        <w:tc>
          <w:tcPr>
            <w:tcW w:w="1159" w:type="dxa"/>
          </w:tcPr>
          <w:p w14:paraId="47817921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Low</w:t>
            </w:r>
          </w:p>
        </w:tc>
        <w:tc>
          <w:tcPr>
            <w:tcW w:w="1050" w:type="dxa"/>
          </w:tcPr>
          <w:p w14:paraId="47817922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Medium</w:t>
            </w:r>
          </w:p>
        </w:tc>
        <w:tc>
          <w:tcPr>
            <w:tcW w:w="3106" w:type="dxa"/>
          </w:tcPr>
          <w:p w14:paraId="47817923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Clerk appointed as the Proper Financial Officer.</w:t>
            </w:r>
          </w:p>
          <w:p w14:paraId="47817924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Financial Regulations adhered to and reviewed annually. </w:t>
            </w:r>
          </w:p>
          <w:p w14:paraId="47817925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Annual Internal Audit of controls carried out by Independent firm.</w:t>
            </w:r>
          </w:p>
          <w:p w14:paraId="47817926" w14:textId="25CD6FDB" w:rsidR="004065BC" w:rsidRDefault="004065BC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 xml:space="preserve">Bank reconciliation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completed 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each month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by the </w:t>
            </w:r>
            <w:r w:rsidR="00F0071D">
              <w:rPr>
                <w:rFonts w:ascii="Calibri" w:hAnsi="Calibri"/>
                <w:sz w:val="22"/>
                <w:szCs w:val="22"/>
                <w:lang w:val="en-GB"/>
              </w:rPr>
              <w:t>Finance Manager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and are reviewed by the Clerk. They a</w:t>
            </w:r>
            <w:r w:rsidR="002567B8">
              <w:rPr>
                <w:rFonts w:ascii="Calibri" w:hAnsi="Calibri"/>
                <w:sz w:val="22"/>
                <w:szCs w:val="22"/>
                <w:lang w:val="en-GB"/>
              </w:rPr>
              <w:t>re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submitted to the Council Matters 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 xml:space="preserve">Committee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meetings and are signed as reviewed by the Committee Chair </w:t>
            </w:r>
            <w:r w:rsidR="002567B8">
              <w:rPr>
                <w:rFonts w:ascii="Calibri" w:hAnsi="Calibri"/>
                <w:sz w:val="22"/>
                <w:szCs w:val="22"/>
                <w:lang w:val="en-GB"/>
              </w:rPr>
              <w:t xml:space="preserve">or Mayor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quarterly.</w:t>
            </w:r>
          </w:p>
          <w:p w14:paraId="47817927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Budget monitor report reviewed by Clerk monthly and by </w:t>
            </w:r>
            <w:r w:rsidR="00991108">
              <w:rPr>
                <w:rFonts w:ascii="Calibri" w:hAnsi="Calibri"/>
                <w:sz w:val="22"/>
                <w:szCs w:val="22"/>
                <w:lang w:val="en-GB"/>
              </w:rPr>
              <w:t xml:space="preserve">the Council Matters </w:t>
            </w:r>
            <w:r w:rsidR="00991108" w:rsidRPr="00D03891">
              <w:rPr>
                <w:rFonts w:ascii="Calibri" w:hAnsi="Calibri"/>
                <w:sz w:val="22"/>
                <w:szCs w:val="22"/>
                <w:lang w:val="en-GB"/>
              </w:rPr>
              <w:t xml:space="preserve">Committee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at each meeting.</w:t>
            </w:r>
          </w:p>
          <w:p w14:paraId="47817928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Invoices raised monthly and receipts issued for all cash income.</w:t>
            </w:r>
          </w:p>
          <w:p w14:paraId="47817929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lastRenderedPageBreak/>
              <w:t>Cash donations/collections counted by two staff.</w:t>
            </w:r>
          </w:p>
          <w:p w14:paraId="4781792A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Petty cash float counted monthly by two staff.</w:t>
            </w:r>
          </w:p>
          <w:p w14:paraId="4781792B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55" w:type="dxa"/>
          </w:tcPr>
          <w:p w14:paraId="4781792C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lastRenderedPageBreak/>
              <w:t>Maintain existing procedures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1496" w:type="dxa"/>
          </w:tcPr>
          <w:p w14:paraId="4781792D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1507" w:type="dxa"/>
          </w:tcPr>
          <w:p w14:paraId="4781792E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</w:tr>
      <w:tr w:rsidR="00145311" w:rsidRPr="00D03891" w14:paraId="4781793D" w14:textId="77777777" w:rsidTr="00991108">
        <w:tc>
          <w:tcPr>
            <w:tcW w:w="1888" w:type="dxa"/>
          </w:tcPr>
          <w:p w14:paraId="47817930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 xml:space="preserve">Computer records </w:t>
            </w:r>
          </w:p>
        </w:tc>
        <w:tc>
          <w:tcPr>
            <w:tcW w:w="1687" w:type="dxa"/>
          </w:tcPr>
          <w:p w14:paraId="47817931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bookmarkStart w:id="0" w:name="_Hlk159233126"/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L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oss of data through system failure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 xml:space="preserve"> or theft.</w:t>
            </w:r>
            <w:bookmarkEnd w:id="0"/>
          </w:p>
        </w:tc>
        <w:tc>
          <w:tcPr>
            <w:tcW w:w="1159" w:type="dxa"/>
          </w:tcPr>
          <w:p w14:paraId="47817932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Low</w:t>
            </w:r>
          </w:p>
        </w:tc>
        <w:tc>
          <w:tcPr>
            <w:tcW w:w="1050" w:type="dxa"/>
          </w:tcPr>
          <w:p w14:paraId="47817933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High</w:t>
            </w:r>
          </w:p>
        </w:tc>
        <w:tc>
          <w:tcPr>
            <w:tcW w:w="3106" w:type="dxa"/>
          </w:tcPr>
          <w:p w14:paraId="47817934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bookmarkStart w:id="1" w:name="_Hlk159233098"/>
            <w:r>
              <w:rPr>
                <w:rFonts w:ascii="Calibri" w:hAnsi="Calibri"/>
                <w:sz w:val="22"/>
                <w:szCs w:val="22"/>
                <w:lang w:val="en-GB"/>
              </w:rPr>
              <w:t>Finance and Payroll packages b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ack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ed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-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up to server on completion of each input session.</w:t>
            </w:r>
          </w:p>
          <w:p w14:paraId="47817935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Sever backed-up daily to icloud.</w:t>
            </w:r>
          </w:p>
          <w:p w14:paraId="47817936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Anti-virus software installed on server.</w:t>
            </w:r>
          </w:p>
          <w:bookmarkEnd w:id="1"/>
          <w:p w14:paraId="47817937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Contractor used for all hardware and software issues.</w:t>
            </w:r>
          </w:p>
          <w:p w14:paraId="47817938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55" w:type="dxa"/>
            <w:shd w:val="clear" w:color="auto" w:fill="auto"/>
          </w:tcPr>
          <w:p w14:paraId="47817939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91108">
              <w:rPr>
                <w:rFonts w:ascii="Calibri" w:hAnsi="Calibri"/>
                <w:sz w:val="22"/>
                <w:szCs w:val="22"/>
                <w:lang w:val="en-GB"/>
              </w:rPr>
              <w:t>Establish written terms of service with IT support contractor.</w:t>
            </w:r>
          </w:p>
        </w:tc>
        <w:tc>
          <w:tcPr>
            <w:tcW w:w="1496" w:type="dxa"/>
          </w:tcPr>
          <w:p w14:paraId="4781793A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Clerk</w:t>
            </w:r>
          </w:p>
          <w:p w14:paraId="4781793B" w14:textId="77777777" w:rsidR="00145311" w:rsidRDefault="0063064A" w:rsidP="004C6FC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By end of Aug 2023</w:t>
            </w:r>
            <w:r w:rsidR="004065BC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1507" w:type="dxa"/>
          </w:tcPr>
          <w:p w14:paraId="4781793C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45311" w:rsidRPr="00D03891" w14:paraId="4781794A" w14:textId="77777777" w:rsidTr="00145311">
        <w:tc>
          <w:tcPr>
            <w:tcW w:w="1888" w:type="dxa"/>
          </w:tcPr>
          <w:p w14:paraId="4781793E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Quotes and 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Tenders</w:t>
            </w:r>
          </w:p>
        </w:tc>
        <w:tc>
          <w:tcPr>
            <w:tcW w:w="1687" w:type="dxa"/>
          </w:tcPr>
          <w:p w14:paraId="4781793F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Best value not achieved.</w:t>
            </w:r>
          </w:p>
          <w:p w14:paraId="47817940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Breach of the Public Contracts Regulations.</w:t>
            </w:r>
          </w:p>
          <w:p w14:paraId="47817941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159" w:type="dxa"/>
          </w:tcPr>
          <w:p w14:paraId="47817942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Low</w:t>
            </w:r>
          </w:p>
        </w:tc>
        <w:tc>
          <w:tcPr>
            <w:tcW w:w="1050" w:type="dxa"/>
          </w:tcPr>
          <w:p w14:paraId="47817943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Low</w:t>
            </w:r>
          </w:p>
        </w:tc>
        <w:tc>
          <w:tcPr>
            <w:tcW w:w="3106" w:type="dxa"/>
          </w:tcPr>
          <w:p w14:paraId="47817944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Financial regulations detail procedures to be followed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  <w:p w14:paraId="47817945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Annual Internal Audit of controls carried out by Independent firm.</w:t>
            </w:r>
          </w:p>
          <w:p w14:paraId="47817946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55" w:type="dxa"/>
          </w:tcPr>
          <w:p w14:paraId="47817947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Maintain existing procedures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1496" w:type="dxa"/>
          </w:tcPr>
          <w:p w14:paraId="47817948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1507" w:type="dxa"/>
          </w:tcPr>
          <w:p w14:paraId="47817949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</w:tr>
      <w:tr w:rsidR="00145311" w:rsidRPr="00D03891" w14:paraId="4781795C" w14:textId="77777777" w:rsidTr="00145311">
        <w:tc>
          <w:tcPr>
            <w:tcW w:w="1888" w:type="dxa"/>
          </w:tcPr>
          <w:p w14:paraId="4781794B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 xml:space="preserve">Salaries </w:t>
            </w:r>
          </w:p>
        </w:tc>
        <w:tc>
          <w:tcPr>
            <w:tcW w:w="1687" w:type="dxa"/>
          </w:tcPr>
          <w:p w14:paraId="4781794C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Incorrect payments to staff.</w:t>
            </w:r>
          </w:p>
          <w:p w14:paraId="4781794D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Incorrect deductions made.</w:t>
            </w:r>
          </w:p>
          <w:p w14:paraId="4781794E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Non-compliance with Pension Regulations.</w:t>
            </w:r>
          </w:p>
          <w:p w14:paraId="4781794F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Payments not made to HMRC.</w:t>
            </w:r>
          </w:p>
          <w:p w14:paraId="47817950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159" w:type="dxa"/>
          </w:tcPr>
          <w:p w14:paraId="47817951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Low</w:t>
            </w:r>
          </w:p>
        </w:tc>
        <w:tc>
          <w:tcPr>
            <w:tcW w:w="1050" w:type="dxa"/>
          </w:tcPr>
          <w:p w14:paraId="47817952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Medium</w:t>
            </w:r>
          </w:p>
        </w:tc>
        <w:tc>
          <w:tcPr>
            <w:tcW w:w="3106" w:type="dxa"/>
          </w:tcPr>
          <w:p w14:paraId="47817953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SAGE payroll calculates wages and deductions monthly. </w:t>
            </w:r>
          </w:p>
          <w:p w14:paraId="47817954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Full payment submission to HMRC made monthly via SAGE.</w:t>
            </w:r>
          </w:p>
          <w:p w14:paraId="47817955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BACS payments of wages processed by Secondary User and checked and authorised by Primary User.</w:t>
            </w:r>
          </w:p>
          <w:p w14:paraId="47817956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Annual Internal Audit of controls carried out by Independent firm.</w:t>
            </w:r>
          </w:p>
          <w:p w14:paraId="47817957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lastRenderedPageBreak/>
              <w:t>Pensions Auto-enrolment rules adhered to.</w:t>
            </w:r>
          </w:p>
          <w:p w14:paraId="47817958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55" w:type="dxa"/>
          </w:tcPr>
          <w:p w14:paraId="47817959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lastRenderedPageBreak/>
              <w:t>Maintain existing procedures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1496" w:type="dxa"/>
          </w:tcPr>
          <w:p w14:paraId="4781795A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1507" w:type="dxa"/>
          </w:tcPr>
          <w:p w14:paraId="4781795B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</w:tr>
      <w:tr w:rsidR="00145311" w:rsidRPr="00D03891" w14:paraId="47817966" w14:textId="77777777" w:rsidTr="00145311">
        <w:tc>
          <w:tcPr>
            <w:tcW w:w="1888" w:type="dxa"/>
          </w:tcPr>
          <w:p w14:paraId="4781795D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Election Costs</w:t>
            </w:r>
          </w:p>
        </w:tc>
        <w:tc>
          <w:tcPr>
            <w:tcW w:w="1687" w:type="dxa"/>
          </w:tcPr>
          <w:p w14:paraId="4781795E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Inability to meet costs</w:t>
            </w:r>
          </w:p>
        </w:tc>
        <w:tc>
          <w:tcPr>
            <w:tcW w:w="1159" w:type="dxa"/>
          </w:tcPr>
          <w:p w14:paraId="4781795F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Low</w:t>
            </w:r>
          </w:p>
        </w:tc>
        <w:tc>
          <w:tcPr>
            <w:tcW w:w="1050" w:type="dxa"/>
          </w:tcPr>
          <w:p w14:paraId="47817960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Low</w:t>
            </w:r>
          </w:p>
        </w:tc>
        <w:tc>
          <w:tcPr>
            <w:tcW w:w="3106" w:type="dxa"/>
          </w:tcPr>
          <w:p w14:paraId="47817961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Provision made in budget annually</w:t>
            </w:r>
            <w:r w:rsidR="00AD6E24">
              <w:rPr>
                <w:rFonts w:ascii="Calibri" w:hAnsi="Calibri"/>
                <w:sz w:val="22"/>
                <w:szCs w:val="22"/>
                <w:lang w:val="en-GB"/>
              </w:rPr>
              <w:t>. Sufficient reserves held to cover any costs in excess of the budget allocation.</w:t>
            </w:r>
          </w:p>
          <w:p w14:paraId="47817962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55" w:type="dxa"/>
          </w:tcPr>
          <w:p w14:paraId="47817963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Maintain existing procedures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1496" w:type="dxa"/>
          </w:tcPr>
          <w:p w14:paraId="47817964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1507" w:type="dxa"/>
          </w:tcPr>
          <w:p w14:paraId="47817965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</w:tr>
      <w:tr w:rsidR="00145311" w:rsidRPr="00D03891" w14:paraId="47817978" w14:textId="77777777" w:rsidTr="00145311">
        <w:tc>
          <w:tcPr>
            <w:tcW w:w="1888" w:type="dxa"/>
          </w:tcPr>
          <w:p w14:paraId="47817967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VAT</w:t>
            </w:r>
          </w:p>
          <w:p w14:paraId="47817968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687" w:type="dxa"/>
          </w:tcPr>
          <w:p w14:paraId="47817969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Errors in calculation. Payments not made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/claimed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 xml:space="preserve"> to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/from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 xml:space="preserve"> HMRC.</w:t>
            </w:r>
          </w:p>
          <w:p w14:paraId="4781796A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Wrong treatment of VAT resulting in a fine or liability.</w:t>
            </w:r>
          </w:p>
          <w:p w14:paraId="4781796B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159" w:type="dxa"/>
          </w:tcPr>
          <w:p w14:paraId="4781796C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Medium</w:t>
            </w:r>
          </w:p>
        </w:tc>
        <w:tc>
          <w:tcPr>
            <w:tcW w:w="1050" w:type="dxa"/>
          </w:tcPr>
          <w:p w14:paraId="4781796D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Medium</w:t>
            </w:r>
          </w:p>
        </w:tc>
        <w:tc>
          <w:tcPr>
            <w:tcW w:w="3106" w:type="dxa"/>
          </w:tcPr>
          <w:p w14:paraId="4781796E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Compliance with 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HMRC regulations.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Professional advice sought where correct VAT treatment is not known.</w:t>
            </w:r>
          </w:p>
          <w:p w14:paraId="4781796F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Input VAT only claimed where proper VAT invoices are held.</w:t>
            </w:r>
          </w:p>
          <w:p w14:paraId="47817970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Clerk and </w:t>
            </w:r>
            <w:r w:rsidR="00AD6E24">
              <w:rPr>
                <w:rFonts w:ascii="Calibri" w:hAnsi="Calibri"/>
                <w:sz w:val="22"/>
                <w:szCs w:val="22"/>
                <w:lang w:val="en-GB"/>
              </w:rPr>
              <w:t>Finance Manager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have attended training.</w:t>
            </w:r>
          </w:p>
          <w:p w14:paraId="47817971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Quarterly returns made.</w:t>
            </w:r>
          </w:p>
          <w:p w14:paraId="47817972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RBS Software used to compile returns.</w:t>
            </w:r>
          </w:p>
          <w:p w14:paraId="47817973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Returns reviewed by Internal A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udit.</w:t>
            </w:r>
          </w:p>
          <w:p w14:paraId="47817974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55" w:type="dxa"/>
          </w:tcPr>
          <w:p w14:paraId="47817975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Maintain existing procedures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1496" w:type="dxa"/>
          </w:tcPr>
          <w:p w14:paraId="47817976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1507" w:type="dxa"/>
          </w:tcPr>
          <w:p w14:paraId="47817977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</w:tr>
      <w:tr w:rsidR="00145311" w:rsidRPr="00D03891" w14:paraId="47817986" w14:textId="77777777" w:rsidTr="00145311">
        <w:tc>
          <w:tcPr>
            <w:tcW w:w="1888" w:type="dxa"/>
          </w:tcPr>
          <w:p w14:paraId="47817979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Annual Return</w:t>
            </w:r>
          </w:p>
        </w:tc>
        <w:tc>
          <w:tcPr>
            <w:tcW w:w="1687" w:type="dxa"/>
          </w:tcPr>
          <w:p w14:paraId="4781797A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Not submitted on time. </w:t>
            </w:r>
          </w:p>
          <w:p w14:paraId="4781797B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Incorrectly completed.</w:t>
            </w:r>
          </w:p>
        </w:tc>
        <w:tc>
          <w:tcPr>
            <w:tcW w:w="1159" w:type="dxa"/>
          </w:tcPr>
          <w:p w14:paraId="4781797C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Low</w:t>
            </w:r>
          </w:p>
        </w:tc>
        <w:tc>
          <w:tcPr>
            <w:tcW w:w="1050" w:type="dxa"/>
          </w:tcPr>
          <w:p w14:paraId="4781797D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Medium</w:t>
            </w:r>
          </w:p>
        </w:tc>
        <w:tc>
          <w:tcPr>
            <w:tcW w:w="3106" w:type="dxa"/>
          </w:tcPr>
          <w:p w14:paraId="4781797E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Clerk/RFO aware of date.</w:t>
            </w:r>
          </w:p>
          <w:p w14:paraId="4781797F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Clerk and </w:t>
            </w:r>
            <w:r w:rsidR="00F0071D">
              <w:rPr>
                <w:rFonts w:ascii="Calibri" w:hAnsi="Calibri"/>
                <w:sz w:val="22"/>
                <w:szCs w:val="22"/>
                <w:lang w:val="en-GB"/>
              </w:rPr>
              <w:t>Finance Manager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have attended training.</w:t>
            </w:r>
          </w:p>
          <w:p w14:paraId="47817980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Accounts prepared by RBS Software Accounts.  </w:t>
            </w:r>
          </w:p>
          <w:p w14:paraId="47817982" w14:textId="6047C931" w:rsidR="002567B8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Annual Return must be signed off by the Internal Auditor.</w:t>
            </w:r>
          </w:p>
        </w:tc>
        <w:tc>
          <w:tcPr>
            <w:tcW w:w="2055" w:type="dxa"/>
          </w:tcPr>
          <w:p w14:paraId="47817983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Maintain existing procedures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1496" w:type="dxa"/>
          </w:tcPr>
          <w:p w14:paraId="47817984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1507" w:type="dxa"/>
          </w:tcPr>
          <w:p w14:paraId="47817985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</w:tr>
      <w:tr w:rsidR="00145311" w:rsidRPr="00D03891" w14:paraId="4781798F" w14:textId="77777777" w:rsidTr="00145311">
        <w:tc>
          <w:tcPr>
            <w:tcW w:w="1888" w:type="dxa"/>
          </w:tcPr>
          <w:p w14:paraId="47817987" w14:textId="77777777" w:rsidR="00145311" w:rsidRPr="00D03891" w:rsidRDefault="00145311" w:rsidP="0014531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b/>
                <w:sz w:val="22"/>
                <w:szCs w:val="22"/>
                <w:lang w:val="en-GB"/>
              </w:rPr>
              <w:t>Liability</w:t>
            </w:r>
          </w:p>
        </w:tc>
        <w:tc>
          <w:tcPr>
            <w:tcW w:w="1687" w:type="dxa"/>
            <w:shd w:val="clear" w:color="auto" w:fill="BFBFBF" w:themeFill="background1" w:themeFillShade="BF"/>
          </w:tcPr>
          <w:p w14:paraId="47817988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159" w:type="dxa"/>
            <w:shd w:val="clear" w:color="auto" w:fill="BFBFBF" w:themeFill="background1" w:themeFillShade="BF"/>
          </w:tcPr>
          <w:p w14:paraId="47817989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050" w:type="dxa"/>
            <w:shd w:val="clear" w:color="auto" w:fill="BFBFBF" w:themeFill="background1" w:themeFillShade="BF"/>
          </w:tcPr>
          <w:p w14:paraId="4781798A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106" w:type="dxa"/>
            <w:shd w:val="clear" w:color="auto" w:fill="BFBFBF" w:themeFill="background1" w:themeFillShade="BF"/>
          </w:tcPr>
          <w:p w14:paraId="4781798B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55" w:type="dxa"/>
            <w:shd w:val="clear" w:color="auto" w:fill="BFBFBF" w:themeFill="background1" w:themeFillShade="BF"/>
          </w:tcPr>
          <w:p w14:paraId="4781798C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496" w:type="dxa"/>
            <w:shd w:val="clear" w:color="auto" w:fill="BFBFBF" w:themeFill="background1" w:themeFillShade="BF"/>
          </w:tcPr>
          <w:p w14:paraId="4781798D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507" w:type="dxa"/>
            <w:shd w:val="clear" w:color="auto" w:fill="BFBFBF" w:themeFill="background1" w:themeFillShade="BF"/>
          </w:tcPr>
          <w:p w14:paraId="4781798E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4065BC" w:rsidRPr="00D03891" w14:paraId="478179A0" w14:textId="77777777" w:rsidTr="00145311">
        <w:tc>
          <w:tcPr>
            <w:tcW w:w="1888" w:type="dxa"/>
          </w:tcPr>
          <w:p w14:paraId="47817990" w14:textId="77777777" w:rsidR="004065BC" w:rsidRPr="00D03891" w:rsidRDefault="004065BC" w:rsidP="004065B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Health and Safety of Staff, Visitors and Contractors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687" w:type="dxa"/>
          </w:tcPr>
          <w:p w14:paraId="47817991" w14:textId="77777777" w:rsidR="004065BC" w:rsidRPr="00D03891" w:rsidRDefault="004065BC" w:rsidP="004065B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Liability incurred if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lastRenderedPageBreak/>
              <w:t>Council found to be at fault.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159" w:type="dxa"/>
          </w:tcPr>
          <w:p w14:paraId="47817992" w14:textId="77777777" w:rsidR="004065BC" w:rsidRPr="00D03891" w:rsidRDefault="004065BC" w:rsidP="004065B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lastRenderedPageBreak/>
              <w:t>Medium</w:t>
            </w:r>
          </w:p>
        </w:tc>
        <w:tc>
          <w:tcPr>
            <w:tcW w:w="1050" w:type="dxa"/>
          </w:tcPr>
          <w:p w14:paraId="47817993" w14:textId="77777777" w:rsidR="004065BC" w:rsidRPr="00D03891" w:rsidRDefault="004065BC" w:rsidP="004065B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Medium</w:t>
            </w:r>
          </w:p>
        </w:tc>
        <w:tc>
          <w:tcPr>
            <w:tcW w:w="3106" w:type="dxa"/>
          </w:tcPr>
          <w:p w14:paraId="47817994" w14:textId="77777777" w:rsidR="004065BC" w:rsidRDefault="004065BC" w:rsidP="004065B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 xml:space="preserve">Public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L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iability insurance in place (limit of indemnity £10m)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lastRenderedPageBreak/>
              <w:t>I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 xml:space="preserve">nsurance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cover reviewed annually 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with brokers.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  <w:p w14:paraId="47817995" w14:textId="77777777" w:rsidR="004065BC" w:rsidRDefault="004065BC" w:rsidP="004065B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Health &amp; Safety Policy and Lone Working Policy in place.</w:t>
            </w:r>
          </w:p>
          <w:p w14:paraId="47817996" w14:textId="77777777" w:rsidR="004065BC" w:rsidRDefault="004065BC" w:rsidP="004065B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Risk assessment programme in place and risk assessments are completed for all events put on by the Council.</w:t>
            </w:r>
          </w:p>
          <w:p w14:paraId="47817997" w14:textId="77777777" w:rsidR="004065BC" w:rsidRDefault="004065BC" w:rsidP="004065B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All new staff and Councillors are issued with an Induction booklet and relevant policies.</w:t>
            </w:r>
          </w:p>
          <w:p w14:paraId="47817998" w14:textId="77777777" w:rsidR="004065BC" w:rsidRDefault="004065BC" w:rsidP="004065B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H&amp;S and risk assessment requirements included in facilities bookings terms and condition which are on the Council’s website.</w:t>
            </w:r>
          </w:p>
          <w:p w14:paraId="47817999" w14:textId="77777777" w:rsidR="004065BC" w:rsidRDefault="004065BC" w:rsidP="004065B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Fire instructions for Civic Hall users are on the Council’s website.</w:t>
            </w:r>
          </w:p>
          <w:p w14:paraId="4781799A" w14:textId="77777777" w:rsidR="004065BC" w:rsidRDefault="004065BC" w:rsidP="004065B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PAT testing carried out annually.</w:t>
            </w:r>
          </w:p>
          <w:p w14:paraId="4781799B" w14:textId="77777777" w:rsidR="004065BC" w:rsidRDefault="004065BC" w:rsidP="004065B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Asbestos register in place.</w:t>
            </w:r>
          </w:p>
          <w:p w14:paraId="4781799C" w14:textId="77777777" w:rsidR="004065BC" w:rsidRPr="00D03891" w:rsidRDefault="004065BC" w:rsidP="004065B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55" w:type="dxa"/>
          </w:tcPr>
          <w:p w14:paraId="4781799D" w14:textId="77777777" w:rsidR="004065BC" w:rsidRPr="00D03891" w:rsidRDefault="004065BC" w:rsidP="004065B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lastRenderedPageBreak/>
              <w:t>Maintain existing procedures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1496" w:type="dxa"/>
          </w:tcPr>
          <w:p w14:paraId="4781799E" w14:textId="77777777" w:rsidR="004065BC" w:rsidRPr="00D03891" w:rsidRDefault="004065BC" w:rsidP="004065B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1507" w:type="dxa"/>
          </w:tcPr>
          <w:p w14:paraId="4781799F" w14:textId="77777777" w:rsidR="004065BC" w:rsidRPr="00D03891" w:rsidRDefault="004065BC" w:rsidP="004065B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</w:tr>
      <w:tr w:rsidR="00145311" w:rsidRPr="00D03891" w14:paraId="478179AB" w14:textId="77777777" w:rsidTr="00145311">
        <w:tc>
          <w:tcPr>
            <w:tcW w:w="1888" w:type="dxa"/>
          </w:tcPr>
          <w:p w14:paraId="478179A1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Compliance with Employment Law</w:t>
            </w:r>
          </w:p>
        </w:tc>
        <w:tc>
          <w:tcPr>
            <w:tcW w:w="1687" w:type="dxa"/>
          </w:tcPr>
          <w:p w14:paraId="478179A2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Acts outside the Employment Law could lead to financial liability.</w:t>
            </w:r>
          </w:p>
        </w:tc>
        <w:tc>
          <w:tcPr>
            <w:tcW w:w="1159" w:type="dxa"/>
          </w:tcPr>
          <w:p w14:paraId="478179A3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Medium</w:t>
            </w:r>
          </w:p>
        </w:tc>
        <w:tc>
          <w:tcPr>
            <w:tcW w:w="1050" w:type="dxa"/>
          </w:tcPr>
          <w:p w14:paraId="478179A4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Medium</w:t>
            </w:r>
          </w:p>
        </w:tc>
        <w:tc>
          <w:tcPr>
            <w:tcW w:w="3106" w:type="dxa"/>
          </w:tcPr>
          <w:p w14:paraId="478179A5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 xml:space="preserve">Employer Liability insurance in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place (limit of indemnity £10m). I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 xml:space="preserve">nsurance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cover reviewed annually 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with brokers.</w:t>
            </w:r>
          </w:p>
          <w:p w14:paraId="478179A6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Contract held with South West Councils to provide HR support and advice.</w:t>
            </w:r>
          </w:p>
          <w:p w14:paraId="478179A7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55" w:type="dxa"/>
          </w:tcPr>
          <w:p w14:paraId="478179A8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Maintain existing procedures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1496" w:type="dxa"/>
          </w:tcPr>
          <w:p w14:paraId="478179A9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1507" w:type="dxa"/>
          </w:tcPr>
          <w:p w14:paraId="478179AA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</w:tr>
      <w:tr w:rsidR="00145311" w:rsidRPr="00D03891" w14:paraId="478179BE" w14:textId="77777777" w:rsidTr="00145311">
        <w:tc>
          <w:tcPr>
            <w:tcW w:w="1888" w:type="dxa"/>
          </w:tcPr>
          <w:p w14:paraId="478179AC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lastRenderedPageBreak/>
              <w:t>Ensuring the Council acts within its legal powers.</w:t>
            </w:r>
          </w:p>
          <w:p w14:paraId="478179AD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687" w:type="dxa"/>
          </w:tcPr>
          <w:p w14:paraId="478179AE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Ultra Vires Acts incurring financial liability.</w:t>
            </w:r>
          </w:p>
        </w:tc>
        <w:tc>
          <w:tcPr>
            <w:tcW w:w="1159" w:type="dxa"/>
          </w:tcPr>
          <w:p w14:paraId="478179AF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Medium</w:t>
            </w:r>
          </w:p>
        </w:tc>
        <w:tc>
          <w:tcPr>
            <w:tcW w:w="1050" w:type="dxa"/>
          </w:tcPr>
          <w:p w14:paraId="478179B0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Low</w:t>
            </w:r>
          </w:p>
        </w:tc>
        <w:tc>
          <w:tcPr>
            <w:tcW w:w="3106" w:type="dxa"/>
          </w:tcPr>
          <w:p w14:paraId="478179B1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Clerk to verify legal position for any new proposal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  <w:p w14:paraId="478179B2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Use of advice from NALC/DALC/SLCC.</w:t>
            </w:r>
          </w:p>
          <w:p w14:paraId="1DB31A71" w14:textId="77777777" w:rsidR="004065BC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M</w:t>
            </w:r>
            <w:r w:rsidR="007C3D0A">
              <w:rPr>
                <w:rFonts w:ascii="Calibri" w:hAnsi="Calibri"/>
                <w:sz w:val="22"/>
                <w:szCs w:val="22"/>
                <w:lang w:val="en-GB"/>
              </w:rPr>
              <w:t>embers Code of Conduct in place and reviewed regularly.</w:t>
            </w:r>
          </w:p>
          <w:p w14:paraId="478179B3" w14:textId="77777777" w:rsidR="003D3F7A" w:rsidRPr="00D03891" w:rsidRDefault="003D3F7A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55" w:type="dxa"/>
          </w:tcPr>
          <w:p w14:paraId="478179B4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Legal advice to be sought where required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  <w:p w14:paraId="478179B5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78179B6" w14:textId="77777777" w:rsidR="00145311" w:rsidRPr="00D03891" w:rsidRDefault="00145311" w:rsidP="007C3D0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496" w:type="dxa"/>
          </w:tcPr>
          <w:p w14:paraId="478179B7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Clerk</w:t>
            </w:r>
          </w:p>
          <w:p w14:paraId="478179B8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Ongoing.</w:t>
            </w:r>
          </w:p>
          <w:p w14:paraId="478179B9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78179BA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78179BB" w14:textId="77777777" w:rsidR="0014531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78179BC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507" w:type="dxa"/>
          </w:tcPr>
          <w:p w14:paraId="478179BD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</w:tr>
      <w:tr w:rsidR="00145311" w:rsidRPr="00D03891" w14:paraId="478179C7" w14:textId="77777777" w:rsidTr="00145311">
        <w:tc>
          <w:tcPr>
            <w:tcW w:w="1888" w:type="dxa"/>
          </w:tcPr>
          <w:p w14:paraId="478179BF" w14:textId="77777777" w:rsidR="00145311" w:rsidRPr="00D03891" w:rsidRDefault="00145311" w:rsidP="0014531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b/>
                <w:sz w:val="22"/>
                <w:szCs w:val="22"/>
                <w:lang w:val="en-GB"/>
              </w:rPr>
              <w:t>Administration</w:t>
            </w:r>
          </w:p>
        </w:tc>
        <w:tc>
          <w:tcPr>
            <w:tcW w:w="1687" w:type="dxa"/>
            <w:shd w:val="clear" w:color="auto" w:fill="BFBFBF" w:themeFill="background1" w:themeFillShade="BF"/>
          </w:tcPr>
          <w:p w14:paraId="478179C0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159" w:type="dxa"/>
            <w:shd w:val="clear" w:color="auto" w:fill="BFBFBF" w:themeFill="background1" w:themeFillShade="BF"/>
          </w:tcPr>
          <w:p w14:paraId="478179C1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050" w:type="dxa"/>
            <w:shd w:val="clear" w:color="auto" w:fill="BFBFBF" w:themeFill="background1" w:themeFillShade="BF"/>
          </w:tcPr>
          <w:p w14:paraId="478179C2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106" w:type="dxa"/>
            <w:shd w:val="clear" w:color="auto" w:fill="BFBFBF" w:themeFill="background1" w:themeFillShade="BF"/>
          </w:tcPr>
          <w:p w14:paraId="478179C3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55" w:type="dxa"/>
            <w:shd w:val="clear" w:color="auto" w:fill="BFBFBF" w:themeFill="background1" w:themeFillShade="BF"/>
          </w:tcPr>
          <w:p w14:paraId="478179C4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496" w:type="dxa"/>
            <w:shd w:val="clear" w:color="auto" w:fill="BFBFBF" w:themeFill="background1" w:themeFillShade="BF"/>
          </w:tcPr>
          <w:p w14:paraId="478179C5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507" w:type="dxa"/>
            <w:shd w:val="clear" w:color="auto" w:fill="BFBFBF" w:themeFill="background1" w:themeFillShade="BF"/>
          </w:tcPr>
          <w:p w14:paraId="478179C6" w14:textId="77777777" w:rsidR="00145311" w:rsidRPr="00D03891" w:rsidRDefault="00145311" w:rsidP="0014531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C3D0A" w:rsidRPr="00D03891" w14:paraId="478179D4" w14:textId="77777777" w:rsidTr="00145311">
        <w:tc>
          <w:tcPr>
            <w:tcW w:w="1888" w:type="dxa"/>
          </w:tcPr>
          <w:p w14:paraId="478179C8" w14:textId="77777777" w:rsidR="007C3D0A" w:rsidRPr="00D03891" w:rsidRDefault="007C3D0A" w:rsidP="007C3D0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Register of Members’ Interests</w:t>
            </w:r>
          </w:p>
        </w:tc>
        <w:tc>
          <w:tcPr>
            <w:tcW w:w="1687" w:type="dxa"/>
          </w:tcPr>
          <w:p w14:paraId="478179C9" w14:textId="77777777" w:rsidR="007C3D0A" w:rsidRDefault="007C3D0A" w:rsidP="007C3D0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Incomplete register of interests.</w:t>
            </w:r>
          </w:p>
          <w:p w14:paraId="478179CA" w14:textId="77777777" w:rsidR="007C3D0A" w:rsidRDefault="007C3D0A" w:rsidP="007C3D0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Failure to declare interests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  <w:p w14:paraId="478179CB" w14:textId="77777777" w:rsidR="00AD6E24" w:rsidRPr="00D03891" w:rsidRDefault="00AD6E24" w:rsidP="007C3D0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159" w:type="dxa"/>
          </w:tcPr>
          <w:p w14:paraId="478179CC" w14:textId="77777777" w:rsidR="007C3D0A" w:rsidRPr="00D03891" w:rsidRDefault="007C3D0A" w:rsidP="007C3D0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Medium</w:t>
            </w:r>
          </w:p>
        </w:tc>
        <w:tc>
          <w:tcPr>
            <w:tcW w:w="1050" w:type="dxa"/>
          </w:tcPr>
          <w:p w14:paraId="478179CD" w14:textId="77777777" w:rsidR="007C3D0A" w:rsidRPr="00D03891" w:rsidRDefault="007C3D0A" w:rsidP="007C3D0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Low</w:t>
            </w:r>
          </w:p>
        </w:tc>
        <w:tc>
          <w:tcPr>
            <w:tcW w:w="3106" w:type="dxa"/>
          </w:tcPr>
          <w:p w14:paraId="478179CE" w14:textId="77777777" w:rsidR="007C3D0A" w:rsidRDefault="007C3D0A" w:rsidP="007C3D0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Regular reminder to members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  <w:p w14:paraId="478179CF" w14:textId="77777777" w:rsidR="007C3D0A" w:rsidRDefault="007C3D0A" w:rsidP="007C3D0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Standing agenda item for all meetings.</w:t>
            </w:r>
          </w:p>
          <w:p w14:paraId="478179D0" w14:textId="77777777" w:rsidR="007C3D0A" w:rsidRPr="00D03891" w:rsidRDefault="007C3D0A" w:rsidP="007C3D0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Induction programmes in place for new Councillors.</w:t>
            </w:r>
          </w:p>
        </w:tc>
        <w:tc>
          <w:tcPr>
            <w:tcW w:w="2055" w:type="dxa"/>
          </w:tcPr>
          <w:p w14:paraId="478179D1" w14:textId="77777777" w:rsidR="007C3D0A" w:rsidRPr="00D03891" w:rsidRDefault="007C3D0A" w:rsidP="007C3D0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Maintain existing procedures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1496" w:type="dxa"/>
          </w:tcPr>
          <w:p w14:paraId="478179D2" w14:textId="77777777" w:rsidR="007C3D0A" w:rsidRPr="00D03891" w:rsidRDefault="007C3D0A" w:rsidP="007C3D0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1507" w:type="dxa"/>
          </w:tcPr>
          <w:p w14:paraId="478179D3" w14:textId="77777777" w:rsidR="007C3D0A" w:rsidRPr="00D03891" w:rsidRDefault="007C3D0A" w:rsidP="007C3D0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</w:tr>
      <w:tr w:rsidR="00373916" w:rsidRPr="00D03891" w14:paraId="478179E1" w14:textId="77777777" w:rsidTr="00145311">
        <w:tc>
          <w:tcPr>
            <w:tcW w:w="1888" w:type="dxa"/>
          </w:tcPr>
          <w:p w14:paraId="478179D5" w14:textId="77777777" w:rsidR="00373916" w:rsidRPr="00D03891" w:rsidRDefault="00373916" w:rsidP="0037391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Councillor/staff propriety</w:t>
            </w:r>
          </w:p>
        </w:tc>
        <w:tc>
          <w:tcPr>
            <w:tcW w:w="1687" w:type="dxa"/>
          </w:tcPr>
          <w:p w14:paraId="478179D6" w14:textId="77777777" w:rsidR="00373916" w:rsidRPr="00D03891" w:rsidRDefault="00373916" w:rsidP="0037391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Breach of confidentiality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159" w:type="dxa"/>
          </w:tcPr>
          <w:p w14:paraId="478179D7" w14:textId="77777777" w:rsidR="00373916" w:rsidRPr="00D03891" w:rsidRDefault="00373916" w:rsidP="0037391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Medium</w:t>
            </w:r>
          </w:p>
        </w:tc>
        <w:tc>
          <w:tcPr>
            <w:tcW w:w="1050" w:type="dxa"/>
          </w:tcPr>
          <w:p w14:paraId="478179D8" w14:textId="77777777" w:rsidR="00373916" w:rsidRPr="00D03891" w:rsidRDefault="00373916" w:rsidP="0037391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Medium</w:t>
            </w:r>
          </w:p>
        </w:tc>
        <w:tc>
          <w:tcPr>
            <w:tcW w:w="3106" w:type="dxa"/>
          </w:tcPr>
          <w:p w14:paraId="478179D9" w14:textId="77777777" w:rsidR="00373916" w:rsidRDefault="00373916" w:rsidP="0037391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Code of Conduct in place.</w:t>
            </w:r>
          </w:p>
          <w:p w14:paraId="478179DA" w14:textId="77777777" w:rsidR="00373916" w:rsidRDefault="00373916" w:rsidP="0037391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Data Protection Policy and Privacy Policy in place which all staff and councillors have been made aware of.</w:t>
            </w:r>
          </w:p>
          <w:p w14:paraId="478179DB" w14:textId="77777777" w:rsidR="00373916" w:rsidRDefault="00373916" w:rsidP="0037391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Regular reminder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s issued to Councillors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/staff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  <w:p w14:paraId="478179DC" w14:textId="77777777" w:rsidR="00373916" w:rsidRDefault="00373916" w:rsidP="0037391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Included in new Councillors’ Induction.</w:t>
            </w:r>
          </w:p>
          <w:p w14:paraId="478179DD" w14:textId="77777777" w:rsidR="00373916" w:rsidRPr="00D03891" w:rsidRDefault="00373916" w:rsidP="0037391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55" w:type="dxa"/>
          </w:tcPr>
          <w:p w14:paraId="478179DE" w14:textId="77777777" w:rsidR="00373916" w:rsidRPr="00D03891" w:rsidRDefault="00373916" w:rsidP="0037391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Maintain existing procedures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1496" w:type="dxa"/>
          </w:tcPr>
          <w:p w14:paraId="478179DF" w14:textId="77777777" w:rsidR="00373916" w:rsidRPr="00D03891" w:rsidRDefault="00373916" w:rsidP="0037391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1507" w:type="dxa"/>
          </w:tcPr>
          <w:p w14:paraId="478179E0" w14:textId="77777777" w:rsidR="00373916" w:rsidRPr="00D03891" w:rsidRDefault="00373916" w:rsidP="0037391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</w:tr>
      <w:tr w:rsidR="00373916" w:rsidRPr="00D03891" w14:paraId="478179EC" w14:textId="77777777" w:rsidTr="00145311">
        <w:tc>
          <w:tcPr>
            <w:tcW w:w="1888" w:type="dxa"/>
          </w:tcPr>
          <w:p w14:paraId="478179E2" w14:textId="77777777" w:rsidR="00373916" w:rsidRPr="00D03891" w:rsidRDefault="00373916" w:rsidP="0037391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Reports and records</w:t>
            </w:r>
          </w:p>
        </w:tc>
        <w:tc>
          <w:tcPr>
            <w:tcW w:w="1687" w:type="dxa"/>
          </w:tcPr>
          <w:p w14:paraId="478179E3" w14:textId="77777777" w:rsidR="00373916" w:rsidRPr="00D03891" w:rsidRDefault="00373916" w:rsidP="0037391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Improper and untimely reporting of meetings via the minutes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1159" w:type="dxa"/>
          </w:tcPr>
          <w:p w14:paraId="478179E4" w14:textId="77777777" w:rsidR="00373916" w:rsidRPr="00D03891" w:rsidRDefault="00373916" w:rsidP="0037391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Medium</w:t>
            </w:r>
          </w:p>
        </w:tc>
        <w:tc>
          <w:tcPr>
            <w:tcW w:w="1050" w:type="dxa"/>
          </w:tcPr>
          <w:p w14:paraId="478179E5" w14:textId="77777777" w:rsidR="00373916" w:rsidRPr="00D03891" w:rsidRDefault="00373916" w:rsidP="0037391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Medium</w:t>
            </w:r>
          </w:p>
        </w:tc>
        <w:tc>
          <w:tcPr>
            <w:tcW w:w="3106" w:type="dxa"/>
          </w:tcPr>
          <w:p w14:paraId="478179E6" w14:textId="77777777" w:rsidR="00373916" w:rsidRPr="00D03891" w:rsidRDefault="00373916" w:rsidP="0037391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Full 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Council meet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ings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 xml:space="preserve"> monthly to receive and approve minutes of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Committee </w:t>
            </w: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meetings held in the interim.</w:t>
            </w:r>
          </w:p>
          <w:p w14:paraId="478179E8" w14:textId="0C55A518" w:rsidR="00373916" w:rsidRPr="00D03891" w:rsidRDefault="00373916" w:rsidP="0037391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Minutes to be made available to press and public via the Council website within 5 working days of a meeting.</w:t>
            </w:r>
          </w:p>
        </w:tc>
        <w:tc>
          <w:tcPr>
            <w:tcW w:w="2055" w:type="dxa"/>
          </w:tcPr>
          <w:p w14:paraId="478179E9" w14:textId="77777777" w:rsidR="00373916" w:rsidRPr="00D03891" w:rsidRDefault="00373916" w:rsidP="0037391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Maintain existing procedures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1496" w:type="dxa"/>
          </w:tcPr>
          <w:p w14:paraId="478179EA" w14:textId="77777777" w:rsidR="00373916" w:rsidRPr="00D03891" w:rsidRDefault="00373916" w:rsidP="0037391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1507" w:type="dxa"/>
          </w:tcPr>
          <w:p w14:paraId="478179EB" w14:textId="77777777" w:rsidR="00373916" w:rsidRPr="00D03891" w:rsidRDefault="00373916" w:rsidP="0037391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</w:tr>
      <w:tr w:rsidR="003D3F7A" w:rsidRPr="00D03891" w14:paraId="47817A05" w14:textId="77777777" w:rsidTr="00145311">
        <w:tc>
          <w:tcPr>
            <w:tcW w:w="1888" w:type="dxa"/>
          </w:tcPr>
          <w:p w14:paraId="478179ED" w14:textId="77777777" w:rsidR="003D3F7A" w:rsidRPr="00D03891" w:rsidRDefault="003D3F7A" w:rsidP="003D3F7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lastRenderedPageBreak/>
              <w:t>Business continuity</w:t>
            </w:r>
          </w:p>
        </w:tc>
        <w:tc>
          <w:tcPr>
            <w:tcW w:w="1687" w:type="dxa"/>
          </w:tcPr>
          <w:p w14:paraId="478179EE" w14:textId="77777777" w:rsidR="003D3F7A" w:rsidRPr="00D03891" w:rsidRDefault="003D3F7A" w:rsidP="003D3F7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Risk that Council business cannot operate due to fire, flood, extreme weather event, power outage, act of terrorism, or any other significant event.</w:t>
            </w:r>
          </w:p>
        </w:tc>
        <w:tc>
          <w:tcPr>
            <w:tcW w:w="1159" w:type="dxa"/>
          </w:tcPr>
          <w:p w14:paraId="478179EF" w14:textId="77777777" w:rsidR="003D3F7A" w:rsidRPr="00D03891" w:rsidRDefault="003D3F7A" w:rsidP="003D3F7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Low</w:t>
            </w:r>
          </w:p>
        </w:tc>
        <w:tc>
          <w:tcPr>
            <w:tcW w:w="1050" w:type="dxa"/>
          </w:tcPr>
          <w:p w14:paraId="478179F0" w14:textId="77777777" w:rsidR="003D3F7A" w:rsidRPr="00D03891" w:rsidRDefault="003D3F7A" w:rsidP="003D3F7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High</w:t>
            </w:r>
          </w:p>
        </w:tc>
        <w:tc>
          <w:tcPr>
            <w:tcW w:w="3106" w:type="dxa"/>
          </w:tcPr>
          <w:p w14:paraId="636B7519" w14:textId="5E135E32" w:rsidR="003D3F7A" w:rsidRDefault="003D3F7A" w:rsidP="003D3F7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Business Continuity Plan approved in November 2023.</w:t>
            </w:r>
          </w:p>
          <w:p w14:paraId="478179F1" w14:textId="205B2371" w:rsidR="003D3F7A" w:rsidRDefault="003D3F7A" w:rsidP="003D3F7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IT systems backed-up to i-cloud. IT support provided by contractor who would be able to reinstate systems.</w:t>
            </w:r>
          </w:p>
          <w:p w14:paraId="478179F2" w14:textId="77777777" w:rsidR="003D3F7A" w:rsidRDefault="003D3F7A" w:rsidP="003D3F7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Insurance cover in place and reviewed annually.</w:t>
            </w:r>
          </w:p>
          <w:p w14:paraId="478179F3" w14:textId="77777777" w:rsidR="003D3F7A" w:rsidRDefault="003D3F7A" w:rsidP="003D3F7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Internal staff cover arrangements identified.</w:t>
            </w:r>
          </w:p>
          <w:p w14:paraId="478179F4" w14:textId="77777777" w:rsidR="003D3F7A" w:rsidRDefault="003D3F7A" w:rsidP="003D3F7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Written procedure documents established for financial processes and cemetery procedures. </w:t>
            </w:r>
          </w:p>
          <w:p w14:paraId="478179F5" w14:textId="77777777" w:rsidR="003D3F7A" w:rsidRPr="00D03891" w:rsidRDefault="003D3F7A" w:rsidP="003D3F7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55" w:type="dxa"/>
          </w:tcPr>
          <w:p w14:paraId="478179FA" w14:textId="4797C1F3" w:rsidR="003D3F7A" w:rsidRPr="00D03891" w:rsidRDefault="003D3F7A" w:rsidP="003D3F7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03891">
              <w:rPr>
                <w:rFonts w:ascii="Calibri" w:hAnsi="Calibri"/>
                <w:sz w:val="22"/>
                <w:szCs w:val="22"/>
                <w:lang w:val="en-GB"/>
              </w:rPr>
              <w:t>Maintain existing procedures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1496" w:type="dxa"/>
          </w:tcPr>
          <w:p w14:paraId="478179FE" w14:textId="23F85308" w:rsidR="003D3F7A" w:rsidRPr="00D03891" w:rsidRDefault="003D3F7A" w:rsidP="003D3F7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1507" w:type="dxa"/>
          </w:tcPr>
          <w:p w14:paraId="47817A04" w14:textId="089625E3" w:rsidR="003D3F7A" w:rsidRPr="00D03891" w:rsidRDefault="003D3F7A" w:rsidP="003D3F7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N/A</w:t>
            </w:r>
          </w:p>
        </w:tc>
      </w:tr>
    </w:tbl>
    <w:p w14:paraId="47817A06" w14:textId="77777777" w:rsidR="00D01563" w:rsidRPr="00D01563" w:rsidRDefault="00D01563" w:rsidP="00D01563">
      <w:pPr>
        <w:rPr>
          <w:b/>
          <w:sz w:val="28"/>
          <w:szCs w:val="28"/>
        </w:rPr>
      </w:pPr>
    </w:p>
    <w:sectPr w:rsidR="00D01563" w:rsidRPr="00D01563" w:rsidSect="00DE65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560"/>
    <w:rsid w:val="00040005"/>
    <w:rsid w:val="00081F66"/>
    <w:rsid w:val="00113200"/>
    <w:rsid w:val="00145311"/>
    <w:rsid w:val="001942AF"/>
    <w:rsid w:val="00234EA5"/>
    <w:rsid w:val="00250EF8"/>
    <w:rsid w:val="002567B8"/>
    <w:rsid w:val="00261386"/>
    <w:rsid w:val="00295B9C"/>
    <w:rsid w:val="00373916"/>
    <w:rsid w:val="003B150E"/>
    <w:rsid w:val="003C44CF"/>
    <w:rsid w:val="003D3F7A"/>
    <w:rsid w:val="004065BC"/>
    <w:rsid w:val="004C6FC5"/>
    <w:rsid w:val="00564036"/>
    <w:rsid w:val="005B5DCF"/>
    <w:rsid w:val="00606657"/>
    <w:rsid w:val="006140F9"/>
    <w:rsid w:val="006221FA"/>
    <w:rsid w:val="006267E8"/>
    <w:rsid w:val="0063064A"/>
    <w:rsid w:val="006B5A30"/>
    <w:rsid w:val="007C3D0A"/>
    <w:rsid w:val="007D623C"/>
    <w:rsid w:val="008E62DC"/>
    <w:rsid w:val="00991108"/>
    <w:rsid w:val="009944B3"/>
    <w:rsid w:val="009B019C"/>
    <w:rsid w:val="00A240BD"/>
    <w:rsid w:val="00A35B52"/>
    <w:rsid w:val="00AA36B4"/>
    <w:rsid w:val="00AB0F42"/>
    <w:rsid w:val="00AD6E24"/>
    <w:rsid w:val="00B6029F"/>
    <w:rsid w:val="00C039BC"/>
    <w:rsid w:val="00C048ED"/>
    <w:rsid w:val="00C06199"/>
    <w:rsid w:val="00C76907"/>
    <w:rsid w:val="00C932EB"/>
    <w:rsid w:val="00C97FC2"/>
    <w:rsid w:val="00CC54BA"/>
    <w:rsid w:val="00D01563"/>
    <w:rsid w:val="00D04C86"/>
    <w:rsid w:val="00D1021F"/>
    <w:rsid w:val="00D62012"/>
    <w:rsid w:val="00D9390E"/>
    <w:rsid w:val="00DA1876"/>
    <w:rsid w:val="00DE6560"/>
    <w:rsid w:val="00E608E4"/>
    <w:rsid w:val="00EA1F43"/>
    <w:rsid w:val="00EA56D9"/>
    <w:rsid w:val="00EC19C4"/>
    <w:rsid w:val="00F0071D"/>
    <w:rsid w:val="00F0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17876"/>
  <w15:chartTrackingRefBased/>
  <w15:docId w15:val="{727E4A1C-6704-4C4A-937A-17EAA935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56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13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38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5" ma:contentTypeDescription="Create a new document." ma:contentTypeScope="" ma:versionID="2aaffee43e6c012a0bca94b596386eb3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448c1df35c89a13e9f01719cfeffa5c5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7ef8c-23c1-40be-b9a1-61c8d2553741">
      <Terms xmlns="http://schemas.microsoft.com/office/infopath/2007/PartnerControls"/>
    </lcf76f155ced4ddcb4097134ff3c332f>
    <TaxCatchAll xmlns="5078ea1e-726b-4ce9-b6a9-ce0da4b18bb9" xsi:nil="true"/>
  </documentManagement>
</p:properties>
</file>

<file path=customXml/itemProps1.xml><?xml version="1.0" encoding="utf-8"?>
<ds:datastoreItem xmlns:ds="http://schemas.openxmlformats.org/officeDocument/2006/customXml" ds:itemID="{25BF96DC-C81E-4006-A139-94A25E0959FE}"/>
</file>

<file path=customXml/itemProps2.xml><?xml version="1.0" encoding="utf-8"?>
<ds:datastoreItem xmlns:ds="http://schemas.openxmlformats.org/officeDocument/2006/customXml" ds:itemID="{BBC25D7D-3B22-44B1-8206-C58A965432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9B8DE-3663-4672-BA9F-A354BC8999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Finance Manager</cp:lastModifiedBy>
  <cp:revision>3</cp:revision>
  <cp:lastPrinted>2022-04-04T10:12:00Z</cp:lastPrinted>
  <dcterms:created xsi:type="dcterms:W3CDTF">2024-02-19T11:14:00Z</dcterms:created>
  <dcterms:modified xsi:type="dcterms:W3CDTF">2024-02-19T11:18:00Z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0x0101006004787D5D701543AFB7531D2E278727</vt:lpwstr>
  </property>
</Properties>
</file>