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8158E" w14:textId="098846B9" w:rsidR="002F4E45" w:rsidRDefault="00720F6A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720F6A">
        <w:rPr>
          <w:rFonts w:ascii="Calibri" w:hAnsi="Calibri" w:cs="Calibri"/>
          <w:b/>
          <w:bCs/>
          <w:sz w:val="24"/>
          <w:szCs w:val="24"/>
          <w:u w:val="single"/>
        </w:rPr>
        <w:t>TOTNES TOWN COUNCIL – COMMUNITY GRANT AWARDS</w:t>
      </w:r>
    </w:p>
    <w:p w14:paraId="01C95BFF" w14:textId="15A94C19" w:rsidR="009C3009" w:rsidRDefault="009C3009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Totnes Town Council Community Grant Application Decisions – Full Council Jun 2024</w:t>
      </w:r>
    </w:p>
    <w:p w14:paraId="7BD61A5F" w14:textId="77777777" w:rsidR="006C2ADF" w:rsidRDefault="006C2ADF" w:rsidP="006C2ADF">
      <w:pPr>
        <w:spacing w:after="0" w:line="240" w:lineRule="auto"/>
        <w:rPr>
          <w:rFonts w:ascii="Calibri" w:eastAsia="Times New Roman" w:hAnsi="Calibri" w:cs="Calibri"/>
          <w:color w:val="222222"/>
          <w:sz w:val="24"/>
          <w:szCs w:val="24"/>
          <w:lang w:eastAsia="en-GB"/>
        </w:rPr>
      </w:pPr>
      <w:r w:rsidRPr="006C2ADF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It was </w:t>
      </w:r>
      <w:r w:rsidRPr="006C2ADF">
        <w:rPr>
          <w:rFonts w:ascii="Calibri" w:eastAsia="Times New Roman" w:hAnsi="Calibri" w:cs="Calibri"/>
          <w:b/>
          <w:bCs/>
          <w:color w:val="222222"/>
          <w:sz w:val="24"/>
          <w:szCs w:val="24"/>
          <w:lang w:eastAsia="en-GB"/>
        </w:rPr>
        <w:t>RESOLVED</w:t>
      </w:r>
      <w:r w:rsidRPr="006C2ADF">
        <w:rPr>
          <w:rFonts w:ascii="Calibri" w:eastAsia="Times New Roman" w:hAnsi="Calibri" w:cs="Calibri"/>
          <w:color w:val="222222"/>
          <w:sz w:val="24"/>
          <w:szCs w:val="24"/>
          <w:lang w:eastAsia="en-GB"/>
        </w:rPr>
        <w:t xml:space="preserve"> to allocate the following grants under the Totnes Town Council Community Grant Applications June 2024:</w:t>
      </w:r>
    </w:p>
    <w:p w14:paraId="5BB8E105" w14:textId="77777777" w:rsidR="004443A1" w:rsidRPr="006C2ADF" w:rsidRDefault="004443A1" w:rsidP="006C2AD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13740" w:type="dxa"/>
        <w:tblLook w:val="04A0" w:firstRow="1" w:lastRow="0" w:firstColumn="1" w:lastColumn="0" w:noHBand="0" w:noVBand="1"/>
      </w:tblPr>
      <w:tblGrid>
        <w:gridCol w:w="2879"/>
        <w:gridCol w:w="3774"/>
        <w:gridCol w:w="1842"/>
        <w:gridCol w:w="1418"/>
        <w:gridCol w:w="1843"/>
        <w:gridCol w:w="1984"/>
      </w:tblGrid>
      <w:tr w:rsidR="0019258A" w:rsidRPr="00C344FC" w14:paraId="43232910" w14:textId="77777777" w:rsidTr="0019258A">
        <w:trPr>
          <w:trHeight w:val="915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41E6524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Applicant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3BEFDB8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Project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7BC6243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Amount requested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hideMark/>
          </w:tcPr>
          <w:p w14:paraId="7B68E93C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project cost £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C8A21B" w14:textId="77777777" w:rsidR="0019258A" w:rsidRPr="00C344FC" w:rsidRDefault="0019258A" w:rsidP="00C34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% of Total Cost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F8A4C" w14:textId="77777777" w:rsidR="0019258A" w:rsidRPr="00C344FC" w:rsidRDefault="0019258A" w:rsidP="00C34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Grant Awarded</w:t>
            </w:r>
          </w:p>
        </w:tc>
      </w:tr>
      <w:tr w:rsidR="0019258A" w:rsidRPr="00C344FC" w14:paraId="213C56DB" w14:textId="77777777" w:rsidTr="0019258A">
        <w:trPr>
          <w:trHeight w:val="61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B11C5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Bridgetown Alive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58CED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Sky Rise Festival 20 Jul 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C628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£3,400.00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77D6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£8,000.00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4AE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151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£1,700.00</w:t>
            </w:r>
          </w:p>
        </w:tc>
      </w:tr>
      <w:tr w:rsidR="0019258A" w:rsidRPr="00C344FC" w14:paraId="0585C4F8" w14:textId="77777777" w:rsidTr="0019258A">
        <w:trPr>
          <w:trHeight w:val="84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74F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TRAYE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6DA93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Totnes Youth Leisure Night and Bridgetown Youth Club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BE7B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£8,750.00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4EE5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£24,600.00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1C28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CE5E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£8,750.00</w:t>
            </w:r>
          </w:p>
        </w:tc>
      </w:tr>
      <w:tr w:rsidR="0019258A" w:rsidRPr="00C344FC" w14:paraId="7B35C14C" w14:textId="77777777" w:rsidTr="0019258A">
        <w:trPr>
          <w:trHeight w:val="6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06ED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Carnival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B213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Carnival Summer/Christmas Programme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660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£3,170.00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26A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£3,170.00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EE7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547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£2,377.50</w:t>
            </w:r>
          </w:p>
        </w:tc>
      </w:tr>
      <w:tr w:rsidR="0019258A" w:rsidRPr="00C344FC" w14:paraId="02F1173F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589F4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Hospital League of Friends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A2D87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Chairs for Dart Ward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96B8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£3,231.00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E24A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£3,731.00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91BBB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AF8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36FC0C47" w14:textId="77777777" w:rsidTr="0019258A">
        <w:trPr>
          <w:trHeight w:val="9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5777E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KEVICC Parents Association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6120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Enrichment and Community Engagement Pupil Programme.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DE61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£6,450.00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F36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£10,850.00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5B51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E73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39B1609A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D4C2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Bike Hub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15EF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Earn a Bike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44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£1,475.00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8E7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£3,150.00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E4E4D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BB44" w14:textId="77777777" w:rsidR="0019258A" w:rsidRPr="00C344FC" w:rsidRDefault="0019258A" w:rsidP="00C344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100% AGREED from Earmarked Reserves</w:t>
            </w:r>
          </w:p>
        </w:tc>
      </w:tr>
      <w:tr w:rsidR="0019258A" w:rsidRPr="00C344FC" w14:paraId="01A9E953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3BA9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SASHA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A8ACD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Running Costs for FY 2024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BA0A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£1,143.48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0149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£3,162.50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05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C2C0A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£1,143.48</w:t>
            </w:r>
          </w:p>
        </w:tc>
      </w:tr>
      <w:tr w:rsidR="0019258A" w:rsidRPr="00C344FC" w14:paraId="373FC62D" w14:textId="77777777" w:rsidTr="0019258A">
        <w:trPr>
          <w:trHeight w:val="85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8CF5E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South Hams Community Action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84E86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Volunteer recruitment support for groups in Totnes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35FB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8CD13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£36,401.00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4B8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B2F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£750.00</w:t>
            </w:r>
          </w:p>
        </w:tc>
      </w:tr>
      <w:tr w:rsidR="0019258A" w:rsidRPr="00C344FC" w14:paraId="5CEC6757" w14:textId="77777777" w:rsidTr="0019258A">
        <w:trPr>
          <w:trHeight w:val="82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27B79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Totnes Caring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A39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Community Intergenerational Projects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C3233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£3,262.00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8D8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£8,155.00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8DE1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E0FD3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£2,446.50</w:t>
            </w:r>
          </w:p>
        </w:tc>
      </w:tr>
      <w:tr w:rsidR="0019258A" w:rsidRPr="00C344FC" w14:paraId="6B69B1BF" w14:textId="77777777" w:rsidTr="0019258A">
        <w:trPr>
          <w:trHeight w:val="12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4B86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TADPOOL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F3923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Co-funded training for 10 high potential sports stars in Totnes who are ‘Pupil Premium’/ Low Income children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A518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£1,250.00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D581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£2,500.00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6A68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401F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5EC0641D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4E1CC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 Mary's Church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7413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proofErr w:type="spellStart"/>
            <w:proofErr w:type="gramStart"/>
            <w:r w:rsidRPr="00C344F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St.Mary’s</w:t>
            </w:r>
            <w:proofErr w:type="spellEnd"/>
            <w:proofErr w:type="gramEnd"/>
            <w:r w:rsidRPr="00C344FC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Servery and Community Space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1A0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1F3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£63,250.00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D621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F59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19258A" w:rsidRPr="00C344FC" w14:paraId="557E20BE" w14:textId="77777777" w:rsidTr="0019258A">
        <w:trPr>
          <w:trHeight w:val="9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DA001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Youth Mental Health Foundation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FF652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Zoom support group for parents of young people struggling with mental health in Totnes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964D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£3,532.00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00D1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£7,948.00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5B44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D3DF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66407B4E" w14:textId="77777777" w:rsidTr="0019258A">
        <w:trPr>
          <w:trHeight w:val="78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FFC0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SPACE Youth Services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43B7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Summer Programme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8A96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84C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C339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40B82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19258A" w:rsidRPr="00C344FC" w14:paraId="050A7EBA" w14:textId="77777777" w:rsidTr="0019258A">
        <w:trPr>
          <w:trHeight w:val="79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5EA3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Food In Community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845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Improving Food Security for Totnes Residents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07B8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£6,708.00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026D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£13,416.00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FBBE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9CE2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£5,031.00</w:t>
            </w:r>
          </w:p>
        </w:tc>
      </w:tr>
      <w:tr w:rsidR="0019258A" w:rsidRPr="00C344FC" w14:paraId="0452CB89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C6482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Future Challenges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BF3F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Strive Together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D9CA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£3,500.00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27BA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£5,000.00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3F6D8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8201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784F953B" w14:textId="77777777" w:rsidTr="0019258A">
        <w:trPr>
          <w:trHeight w:val="6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FC57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Skate Park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B90F0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Skate Park Fundraising Project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206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DC4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£300,000.00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A573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100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1D71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£8,000.00</w:t>
            </w:r>
          </w:p>
        </w:tc>
      </w:tr>
      <w:tr w:rsidR="0019258A" w:rsidRPr="00C344FC" w14:paraId="43741607" w14:textId="77777777" w:rsidTr="0019258A">
        <w:trPr>
          <w:trHeight w:val="97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CF0B2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Leechwell</w:t>
            </w:r>
            <w:proofErr w:type="spellEnd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Garden Association 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A4AC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Sustaining </w:t>
            </w:r>
            <w:proofErr w:type="spellStart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Leechwell</w:t>
            </w:r>
            <w:proofErr w:type="spellEnd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Garden: Ensuring continuity for our </w:t>
            </w:r>
            <w:proofErr w:type="gramStart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residents</w:t>
            </w:r>
            <w:proofErr w:type="gramEnd"/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young and old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235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A32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£4,000.00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03E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DB1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£2,000.00</w:t>
            </w:r>
          </w:p>
        </w:tc>
      </w:tr>
      <w:tr w:rsidR="0019258A" w:rsidRPr="00C344FC" w14:paraId="2F408DAC" w14:textId="77777777" w:rsidTr="0019258A">
        <w:trPr>
          <w:trHeight w:val="84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DDC70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Fusion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A2FC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Warm Spaces Bouncy Fun (Oct 24 - Feb 25)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5F6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£1,948.00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0C0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£1,948.00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6039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75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A7A5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£1,461.00</w:t>
            </w:r>
          </w:p>
        </w:tc>
      </w:tr>
      <w:tr w:rsidR="0019258A" w:rsidRPr="00C344FC" w14:paraId="2880C772" w14:textId="77777777" w:rsidTr="0019258A">
        <w:trPr>
          <w:trHeight w:val="90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7CF5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lastRenderedPageBreak/>
              <w:t>Jamming Station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C807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Family Chill Café (Sep 24 - Feb 25)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7296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0A742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£6,656.25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3C62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584A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£1,000.00</w:t>
            </w:r>
          </w:p>
        </w:tc>
      </w:tr>
      <w:tr w:rsidR="0019258A" w:rsidRPr="00C344FC" w14:paraId="2946023B" w14:textId="77777777" w:rsidTr="0019258A">
        <w:trPr>
          <w:trHeight w:val="81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1696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Stepping Stones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F5ED8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Warms Hearts Café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631A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£22,740.00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C61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£23,340.00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64E7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D81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194DC3B8" w14:textId="77777777" w:rsidTr="0019258A">
        <w:trPr>
          <w:trHeight w:val="945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057C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Transition Town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4CFB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Who owns Totnes? A workshop of mapping and visioning.  Mid-Jun and Jul 2024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1E969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£591.00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44EFC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£591.00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724B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599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0E9091A6" w14:textId="77777777" w:rsidTr="0019258A">
        <w:trPr>
          <w:trHeight w:val="960"/>
        </w:trPr>
        <w:tc>
          <w:tcPr>
            <w:tcW w:w="28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226A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The Mansion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71BAB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Secondary glazing of the Lovelace Room at the Mansion. Jul-Oct 2024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3CD3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32BFD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£1,600.00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1BB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178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£0.00</w:t>
            </w:r>
          </w:p>
        </w:tc>
      </w:tr>
      <w:tr w:rsidR="0019258A" w:rsidRPr="00C344FC" w14:paraId="5EFFEEE4" w14:textId="77777777" w:rsidTr="0019258A">
        <w:trPr>
          <w:trHeight w:val="675"/>
        </w:trPr>
        <w:tc>
          <w:tcPr>
            <w:tcW w:w="287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304307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Citizens Advice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884672" w14:textId="77777777" w:rsidR="0019258A" w:rsidRPr="00C344FC" w:rsidRDefault="0019258A" w:rsidP="00C344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Totnes outreach and partnership with Totnes Caring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8037AA0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£8,826.00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842596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£17,651.00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A2E70E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50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86A56F" w14:textId="77777777" w:rsidR="0019258A" w:rsidRPr="00C344FC" w:rsidRDefault="0019258A" w:rsidP="00C344F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>£4,413.00</w:t>
            </w:r>
          </w:p>
        </w:tc>
      </w:tr>
      <w:tr w:rsidR="0019258A" w:rsidRPr="00C344FC" w14:paraId="70BB0334" w14:textId="77777777" w:rsidTr="0019258A">
        <w:trPr>
          <w:trHeight w:val="345"/>
        </w:trPr>
        <w:tc>
          <w:tcPr>
            <w:tcW w:w="2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B7C8E87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37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4748186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9B929" w14:textId="77777777" w:rsidR="0019258A" w:rsidRPr="00C344FC" w:rsidRDefault="0019258A" w:rsidP="00192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£103,576.48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13EAD" w14:textId="77777777" w:rsidR="0019258A" w:rsidRPr="00C344FC" w:rsidRDefault="0019258A" w:rsidP="00192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£551,119.75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AE3217" w14:textId="0C2A8ADD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 xml:space="preserve"> Transfer extra £16072.48 from Strategic Priorities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C45B84" w14:textId="77777777" w:rsidR="0019258A" w:rsidRPr="00C344FC" w:rsidRDefault="0019258A" w:rsidP="00192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£41,072.48</w:t>
            </w:r>
          </w:p>
        </w:tc>
      </w:tr>
      <w:tr w:rsidR="0019258A" w:rsidRPr="00C344FC" w14:paraId="21E11144" w14:textId="77777777" w:rsidTr="0019258A">
        <w:trPr>
          <w:trHeight w:val="315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6D222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84016" w14:textId="77777777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F6EBF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87EA9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FFB2E" w14:textId="54A37C8D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EAR MARKED RESERVES - Green Travel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3C8C3" w14:textId="77777777" w:rsidR="0019258A" w:rsidRPr="00C344FC" w:rsidRDefault="0019258A" w:rsidP="00192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£1,475</w:t>
            </w:r>
          </w:p>
        </w:tc>
      </w:tr>
      <w:tr w:rsidR="0019258A" w:rsidRPr="00C344FC" w14:paraId="2C68DAA8" w14:textId="77777777" w:rsidTr="0019258A">
        <w:trPr>
          <w:trHeight w:val="330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6033CC" w14:textId="77777777" w:rsidR="0019258A" w:rsidRPr="00C344FC" w:rsidRDefault="0019258A" w:rsidP="0019258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FE7A2" w14:textId="77777777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6197B" w14:textId="77777777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41C3F2D" w14:textId="77777777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83BB" w14:textId="6532FCF0" w:rsidR="0019258A" w:rsidRPr="00C344FC" w:rsidRDefault="0019258A" w:rsidP="0019258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TOTAL AWARDED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635E" w14:textId="77777777" w:rsidR="0019258A" w:rsidRPr="00C344FC" w:rsidRDefault="0019258A" w:rsidP="001925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C344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GB"/>
                <w14:ligatures w14:val="none"/>
              </w:rPr>
              <w:t>£42,547.48</w:t>
            </w:r>
          </w:p>
        </w:tc>
      </w:tr>
    </w:tbl>
    <w:p w14:paraId="08730BE1" w14:textId="24DB05A1" w:rsidR="00F50FE2" w:rsidRPr="00F50FE2" w:rsidRDefault="00F50FE2">
      <w:pPr>
        <w:rPr>
          <w:rFonts w:ascii="Calibri" w:hAnsi="Calibri" w:cs="Calibri"/>
          <w:b/>
          <w:bCs/>
          <w:sz w:val="24"/>
          <w:szCs w:val="24"/>
        </w:rPr>
      </w:pPr>
      <w:r w:rsidRPr="00F50FE2">
        <w:rPr>
          <w:rFonts w:ascii="Calibri" w:hAnsi="Calibri" w:cs="Calibri"/>
          <w:b/>
          <w:bCs/>
          <w:sz w:val="24"/>
          <w:szCs w:val="24"/>
        </w:rPr>
        <w:t>Totnes Town Council Community Grant Application Decisions – Full Council June 2023</w:t>
      </w:r>
    </w:p>
    <w:p w14:paraId="1D25816F" w14:textId="4B7D370C" w:rsidR="00F50FE2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bCs w:val="0"/>
          <w:color w:val="333333"/>
        </w:rPr>
      </w:pPr>
      <w:r w:rsidRPr="00F50FE2">
        <w:rPr>
          <w:rStyle w:val="Strong"/>
          <w:rFonts w:ascii="Calibri" w:eastAsiaTheme="majorEastAsia" w:hAnsi="Calibri" w:cs="Calibri"/>
          <w:b w:val="0"/>
          <w:bCs w:val="0"/>
          <w:color w:val="333333"/>
        </w:rPr>
        <w:t xml:space="preserve">It was </w:t>
      </w:r>
      <w:r w:rsidRPr="006C2ADF">
        <w:rPr>
          <w:rStyle w:val="Strong"/>
          <w:rFonts w:ascii="Calibri" w:eastAsiaTheme="majorEastAsia" w:hAnsi="Calibri" w:cs="Calibri"/>
          <w:color w:val="333333"/>
        </w:rPr>
        <w:t>RESOLVED</w:t>
      </w:r>
      <w:r w:rsidRPr="00F50FE2">
        <w:rPr>
          <w:rStyle w:val="Strong"/>
          <w:rFonts w:ascii="Calibri" w:eastAsiaTheme="majorEastAsia" w:hAnsi="Calibri" w:cs="Calibri"/>
          <w:b w:val="0"/>
          <w:bCs w:val="0"/>
          <w:color w:val="333333"/>
        </w:rPr>
        <w:t xml:space="preserve"> by majority to allocate the following grants under the Totnes Town Council Community Grant Applications June 2023</w:t>
      </w:r>
      <w:r>
        <w:rPr>
          <w:rStyle w:val="Strong"/>
          <w:rFonts w:ascii="Calibri" w:eastAsiaTheme="majorEastAsia" w:hAnsi="Calibri" w:cs="Calibri"/>
          <w:b w:val="0"/>
          <w:bCs w:val="0"/>
          <w:color w:val="333333"/>
        </w:rPr>
        <w:t>:</w:t>
      </w:r>
    </w:p>
    <w:p w14:paraId="5937ED4B" w14:textId="77777777" w:rsidR="00F50FE2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bCs w:val="0"/>
          <w:color w:val="33333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552"/>
        <w:gridCol w:w="1559"/>
        <w:gridCol w:w="1559"/>
        <w:gridCol w:w="851"/>
        <w:gridCol w:w="3827"/>
      </w:tblGrid>
      <w:tr w:rsidR="00F50FE2" w:rsidRPr="00F50FE2" w14:paraId="5B5C513C" w14:textId="77777777" w:rsidTr="00F50FE2">
        <w:tc>
          <w:tcPr>
            <w:tcW w:w="3397" w:type="dxa"/>
          </w:tcPr>
          <w:p w14:paraId="1E1216BB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Applicant</w:t>
            </w:r>
          </w:p>
        </w:tc>
        <w:tc>
          <w:tcPr>
            <w:tcW w:w="2552" w:type="dxa"/>
          </w:tcPr>
          <w:p w14:paraId="36FEC100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Project</w:t>
            </w:r>
          </w:p>
        </w:tc>
        <w:tc>
          <w:tcPr>
            <w:tcW w:w="1559" w:type="dxa"/>
          </w:tcPr>
          <w:p w14:paraId="663EF843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Amount Requested £</w:t>
            </w:r>
          </w:p>
        </w:tc>
        <w:tc>
          <w:tcPr>
            <w:tcW w:w="1559" w:type="dxa"/>
          </w:tcPr>
          <w:p w14:paraId="18C70553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Total Project Cost £</w:t>
            </w:r>
          </w:p>
        </w:tc>
        <w:tc>
          <w:tcPr>
            <w:tcW w:w="851" w:type="dxa"/>
          </w:tcPr>
          <w:p w14:paraId="2623F29B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% of Total Cost</w:t>
            </w:r>
          </w:p>
        </w:tc>
        <w:tc>
          <w:tcPr>
            <w:tcW w:w="3827" w:type="dxa"/>
          </w:tcPr>
          <w:p w14:paraId="4C1EF9A7" w14:textId="77777777" w:rsidR="00F50FE2" w:rsidRPr="00F50FE2" w:rsidRDefault="00F50FE2" w:rsidP="002F7CD7">
            <w:pPr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222222"/>
                <w:sz w:val="22"/>
                <w:szCs w:val="22"/>
              </w:rPr>
              <w:t>Grant Awarded £</w:t>
            </w:r>
          </w:p>
        </w:tc>
      </w:tr>
      <w:tr w:rsidR="00F50FE2" w:rsidRPr="00F50FE2" w14:paraId="3368CE74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55544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Stepping Stones (1)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5162E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Totnes Food Bank &amp; TQ9 Community Food Club (May 2023-May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09B9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7060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D77CD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9B0B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54.3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C392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3530</w:t>
            </w:r>
          </w:p>
        </w:tc>
      </w:tr>
      <w:tr w:rsidR="00F50FE2" w:rsidRPr="00F50FE2" w14:paraId="60FA6105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C510B4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St John's Church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1EBE0D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Bubbles, Birds &amp; Sewing Bees (Jul 2023 - Mar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6DF1CE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2888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5A0E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A5AC6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54.5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45CD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722</w:t>
            </w:r>
          </w:p>
        </w:tc>
      </w:tr>
      <w:tr w:rsidR="00F50FE2" w:rsidRPr="00F50FE2" w14:paraId="21F39AF3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68F08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Totnes Library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F701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Kitchen &amp; Refreshments Offer (Jul - Dec 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BD31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1613.41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CD138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1613.41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334B5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DA44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1210.05</w:t>
            </w:r>
          </w:p>
        </w:tc>
      </w:tr>
      <w:tr w:rsidR="00F50FE2" w:rsidRPr="00F50FE2" w14:paraId="4668A780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C126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Totnes Rural Area Youth Engagement (TRAYE)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9CC4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Bridgetown Youth Club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0DE29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BA4978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1442E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83.6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16C6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3750</w:t>
            </w:r>
          </w:p>
        </w:tc>
      </w:tr>
      <w:tr w:rsidR="00F50FE2" w:rsidRPr="00F50FE2" w14:paraId="13A10B8D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EAB8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DYS Space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7EFBA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Subsidising trips for young people over the summer (26 Jul - 31 Aug 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4928E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71F3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53B59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2B25B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</w:tr>
      <w:tr w:rsidR="00F50FE2" w:rsidRPr="00F50FE2" w14:paraId="3340C7DA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4E66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Citizens Advice South Hams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48EB5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Totnes Community Outreach Programme (Jul 2023 - Jun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A541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11938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888CA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19476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4921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61.3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534A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5969</w:t>
            </w:r>
          </w:p>
        </w:tc>
      </w:tr>
      <w:tr w:rsidR="00F50FE2" w:rsidRPr="00F50FE2" w14:paraId="3A7FB15E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FB4F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Totnes Caring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F09A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Lunch Club (Jul 2023 - Jul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F13669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13252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13A94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20339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110D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65.2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FD01D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6626</w:t>
            </w:r>
          </w:p>
        </w:tc>
      </w:tr>
      <w:tr w:rsidR="00F50FE2" w:rsidRPr="00F50FE2" w14:paraId="148069BD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C42BE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Transition Town Totnes (TTT)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D52512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The Energy Wise Show (Jul - Oct 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FBE97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2456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37A64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3964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F4141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8B4A09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50FE2" w:rsidRPr="00F50FE2" w14:paraId="0717A272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653EB2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proofErr w:type="spellStart"/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Earthjump</w:t>
            </w:r>
            <w:proofErr w:type="spellEnd"/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CIC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22EDA2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Play on a Shoestring (Jun - Sep 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0337D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81303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232E94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ECEFD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50FE2" w:rsidRPr="00F50FE2" w14:paraId="5A6C7C3D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F9D6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Stepping Stones (2)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06FFF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Staff Funding for Food Bank and TQ9 Food Club (Oct 2023 - Jun 2024)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593E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14529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6AB4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49CE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71.7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1DEB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50FE2" w:rsidRPr="00F50FE2" w14:paraId="2F37B67C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E70F0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Chamber of Commerce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1380B02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Christmas Lights 2023 (Nov - Dec 2023)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0B1D8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796B3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C11D67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5E999C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50FE2" w:rsidRPr="00F50FE2" w14:paraId="409A03D6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0917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Food In Community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B90A40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Cost of living support for struggling households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AFD6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3527.87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697066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5427.50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FA87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D087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2645.90</w:t>
            </w:r>
          </w:p>
        </w:tc>
      </w:tr>
      <w:tr w:rsidR="00F50FE2" w:rsidRPr="00F50FE2" w14:paraId="1EEACDFD" w14:textId="77777777" w:rsidTr="00F50FE2">
        <w:tc>
          <w:tcPr>
            <w:tcW w:w="3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1FD55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0A8DA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AA08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65,834.28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C251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99,119.91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B77983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color w:val="000000"/>
                <w:sz w:val="22"/>
                <w:szCs w:val="22"/>
              </w:rPr>
              <w:t>66.4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D797F" w14:textId="77777777" w:rsidR="00F50FE2" w:rsidRPr="00F50FE2" w:rsidRDefault="00F50FE2" w:rsidP="002F7CD7">
            <w:pPr>
              <w:rPr>
                <w:rFonts w:ascii="Calibri" w:hAnsi="Calibri" w:cs="Calibri"/>
                <w:color w:val="222222"/>
                <w:sz w:val="22"/>
                <w:szCs w:val="22"/>
              </w:rPr>
            </w:pPr>
            <w:r w:rsidRPr="00F50FE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24952.95</w:t>
            </w:r>
          </w:p>
        </w:tc>
      </w:tr>
    </w:tbl>
    <w:p w14:paraId="5A32A781" w14:textId="77777777" w:rsidR="00F50FE2" w:rsidRPr="00F50FE2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Style w:val="Strong"/>
          <w:rFonts w:ascii="Calibri" w:eastAsiaTheme="majorEastAsia" w:hAnsi="Calibri" w:cs="Calibri"/>
          <w:b w:val="0"/>
          <w:bCs w:val="0"/>
          <w:color w:val="333333"/>
        </w:rPr>
      </w:pPr>
    </w:p>
    <w:p w14:paraId="0BEC4D1A" w14:textId="3A59ABED" w:rsidR="00F50FE2" w:rsidRPr="00720F6A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Fonts w:ascii="Calibri" w:hAnsi="Calibri" w:cs="Calibri"/>
          <w:color w:val="333333"/>
        </w:rPr>
      </w:pPr>
      <w:r w:rsidRPr="00720F6A">
        <w:rPr>
          <w:rStyle w:val="Strong"/>
          <w:rFonts w:ascii="Calibri" w:eastAsiaTheme="majorEastAsia" w:hAnsi="Calibri" w:cs="Calibri"/>
          <w:color w:val="333333"/>
        </w:rPr>
        <w:lastRenderedPageBreak/>
        <w:t>Totnes Town Council Community Grant Application Decisions – Council Matters Committee October 2022</w:t>
      </w:r>
    </w:p>
    <w:p w14:paraId="03569539" w14:textId="77777777" w:rsidR="00F50FE2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Fonts w:ascii="Calibri" w:hAnsi="Calibri" w:cs="Calibri"/>
          <w:color w:val="333333"/>
        </w:rPr>
      </w:pPr>
      <w:r w:rsidRPr="00720F6A">
        <w:rPr>
          <w:rFonts w:ascii="Calibri" w:hAnsi="Calibri" w:cs="Calibri"/>
          <w:color w:val="333333"/>
        </w:rPr>
        <w:t>The Committee agree</w:t>
      </w:r>
      <w:r w:rsidRPr="00720F6A">
        <w:rPr>
          <w:rStyle w:val="Strong"/>
          <w:rFonts w:ascii="Calibri" w:eastAsiaTheme="majorEastAsia" w:hAnsi="Calibri" w:cs="Calibri"/>
          <w:color w:val="333333"/>
        </w:rPr>
        <w:t> </w:t>
      </w:r>
      <w:r w:rsidRPr="00720F6A">
        <w:rPr>
          <w:rFonts w:ascii="Calibri" w:hAnsi="Calibri" w:cs="Calibri"/>
          <w:color w:val="333333"/>
        </w:rPr>
        <w:t xml:space="preserve">that due to oversubscription of grant funding, the successful applications should focus on helping with the </w:t>
      </w:r>
      <w:proofErr w:type="gramStart"/>
      <w:r w:rsidRPr="00720F6A">
        <w:rPr>
          <w:rFonts w:ascii="Calibri" w:hAnsi="Calibri" w:cs="Calibri"/>
          <w:color w:val="333333"/>
        </w:rPr>
        <w:t>cost of living</w:t>
      </w:r>
      <w:proofErr w:type="gramEnd"/>
      <w:r w:rsidRPr="00720F6A">
        <w:rPr>
          <w:rFonts w:ascii="Calibri" w:hAnsi="Calibri" w:cs="Calibri"/>
          <w:color w:val="333333"/>
        </w:rPr>
        <w:t xml:space="preserve"> crisis. The supported projects will be spent in the interests of the area of its inhabitants and will benefit them in a manner commensurate with expenditure, as per the spending powers under section 137 of the Local Government Act 1972. The Council Matters Committee RESOLVED unanimously to allocate £25,042 to Community Grant applicants listed below, £14,042 of which is considered S137 expenditure.</w:t>
      </w:r>
    </w:p>
    <w:p w14:paraId="2BA756B8" w14:textId="77777777" w:rsidR="00F50FE2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Fonts w:ascii="Calibri" w:hAnsi="Calibri" w:cs="Calibri"/>
          <w:color w:val="333333"/>
        </w:rPr>
      </w:pP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9F5F4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0"/>
        <w:gridCol w:w="2619"/>
        <w:gridCol w:w="1534"/>
        <w:gridCol w:w="1504"/>
        <w:gridCol w:w="825"/>
        <w:gridCol w:w="3853"/>
      </w:tblGrid>
      <w:tr w:rsidR="00F50FE2" w:rsidRPr="00F50FE2" w14:paraId="14EB7928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68E5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Applicant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3E2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Project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C689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Amount requested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5DC7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Total project cost £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6EEF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% of total cost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A1C4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Grant Awarded</w:t>
            </w:r>
          </w:p>
        </w:tc>
      </w:tr>
      <w:tr w:rsidR="00F50FE2" w:rsidRPr="00F50FE2" w14:paraId="5902EC51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3B13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Apricot Centre Wellbeing Service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1B7C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Gather &amp; </w:t>
            </w:r>
            <w:proofErr w:type="gram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Nourish</w:t>
            </w:r>
            <w:proofErr w:type="gramEnd"/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5689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1620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9AA3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1620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3DF8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2953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FULL £1,620 grant awarded.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</w:p>
        </w:tc>
      </w:tr>
      <w:tr w:rsidR="00F50FE2" w:rsidRPr="00F50FE2" w14:paraId="5337FA25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C60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Be </w:t>
            </w:r>
            <w:proofErr w:type="spell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Buckfastleigh</w:t>
            </w:r>
            <w:proofErr w:type="spellEnd"/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8E16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proofErr w:type="gram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Hello Summer</w:t>
            </w:r>
            <w:proofErr w:type="gramEnd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2023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88AE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£10,000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73C6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37,801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4EFF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26.5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5D70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20% £2,000 grant awarded.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</w:p>
        </w:tc>
      </w:tr>
      <w:tr w:rsidR="00F50FE2" w:rsidRPr="00F50FE2" w14:paraId="783FE14D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430F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Caring Town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21B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We Care about…The </w:t>
            </w:r>
            <w:proofErr w:type="gram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Cost of Living</w:t>
            </w:r>
            <w:proofErr w:type="gramEnd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Crisis: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15D9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3100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03EF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6200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CBD7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E0E8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FULL £3,100 grant awarded.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</w:p>
        </w:tc>
      </w:tr>
      <w:tr w:rsidR="00F50FE2" w:rsidRPr="00F50FE2" w14:paraId="394E1D75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330C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Citizens Advice South Hams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2E1B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Community Outreach Programme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8FAE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7,000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E1AD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9,800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8FA1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71.4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FC0A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FULL £7,000 grant awarded. Power to support CAB.</w:t>
            </w:r>
          </w:p>
        </w:tc>
      </w:tr>
      <w:tr w:rsidR="00F50FE2" w:rsidRPr="00F50FE2" w14:paraId="11D30B91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CEF1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Dynamic Adventures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D1A2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Community projects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FB8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3E7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12,000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E9FE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F86C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0E019A2F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F69C7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proofErr w:type="spell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Earthjump</w:t>
            </w:r>
            <w:proofErr w:type="spellEnd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 xml:space="preserve">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9E8A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Community Cafe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F6E6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970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BBC3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1370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140EE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70.8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4E35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5FD8A5A5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4A4E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JAMMING STATION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856F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Firebird Nov 22 – Mar 23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C279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1995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26D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1995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8106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2B2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08B99D96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7932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KEVIC Site Foundations Charity (The Mansion)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5A57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Installation of electric instant heater taps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AE0E9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2800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33A6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5600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5B4D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F03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 and/or consider funding through TTC Climate Change budget.</w:t>
            </w:r>
          </w:p>
        </w:tc>
      </w:tr>
      <w:tr w:rsidR="00F50FE2" w:rsidRPr="00F50FE2" w14:paraId="6D48EE15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3AC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lastRenderedPageBreak/>
              <w:t>Movement for Life community group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F332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Moving in Community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AE60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£1,621.00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708C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£2,281.00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8DEF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71.1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4CF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1203D6B8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27E9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Participate Arts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FFE9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Creative Connections Round 2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5B6A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£1,000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BE99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£4,200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C70E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23.8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38F0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FULL £1,000 grant awarded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. S137 allocation.</w:t>
            </w:r>
          </w:p>
        </w:tc>
      </w:tr>
      <w:tr w:rsidR="00F50FE2" w:rsidRPr="00F50FE2" w14:paraId="6E480D9B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1010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Resilient Lives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1527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Pop up Pirates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481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5610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A984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13280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0CF6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42.2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1AD09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20% £1,122 grant awarded.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</w:p>
        </w:tc>
      </w:tr>
      <w:tr w:rsidR="00F50FE2" w:rsidRPr="00F50FE2" w14:paraId="199BD7FB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EDD4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Skate to the Max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00D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Skateboard Deck Pressing Workshops for young people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B5BF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2266.5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31CB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£14,666.48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1957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15.5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FA8C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1C444577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764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St Mary’s Totnes Heritage Trust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C31B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Community Charter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9609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£5,590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7DAB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£5,590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DA93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198E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4A9640EE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9B4C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Stepping Stones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837BE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Stepping Stones Totnes Community Food Club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2F8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ED457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4CAF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?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B833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80% £2,400 grant funded.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 S137 allocation.</w:t>
            </w:r>
          </w:p>
        </w:tc>
      </w:tr>
      <w:tr w:rsidR="00F50FE2" w:rsidRPr="00F50FE2" w14:paraId="7179C1FB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5C3C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Bike Hub CIC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4708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Re-Loved Bike Project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EA119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3,996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133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3,996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9550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1B1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 and/or consider funding through TTC Climate Change budget.</w:t>
            </w:r>
          </w:p>
        </w:tc>
      </w:tr>
      <w:tr w:rsidR="00F50FE2" w:rsidRPr="00F50FE2" w14:paraId="582A15BD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3BEF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Caring Ltd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191B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Transport Coordination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136F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4,000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5540D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18,073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65FC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22.1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4FBB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FULL £4,000 grant awarded. Powers for Community Transport.</w:t>
            </w:r>
          </w:p>
        </w:tc>
      </w:tr>
      <w:tr w:rsidR="00F50FE2" w:rsidRPr="00F50FE2" w14:paraId="6DA44FA5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0E79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Community Tennis Club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0CC2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Community Sensory Garden Project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5585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2000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A45A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2000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F589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727F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 and/or consider public realm budget contribution.</w:t>
            </w:r>
          </w:p>
        </w:tc>
      </w:tr>
      <w:tr w:rsidR="00F50FE2" w:rsidRPr="00F50FE2" w14:paraId="5ECC5EFA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059E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Pulse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5377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The Totnes Pulse Magazine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BF01C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5,000.00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94F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5,000.00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67B77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6B00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Trust.</w:t>
            </w:r>
          </w:p>
        </w:tc>
      </w:tr>
      <w:tr w:rsidR="00F50FE2" w:rsidRPr="00F50FE2" w14:paraId="6F716842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4738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lastRenderedPageBreak/>
              <w:t>Transition Town Totnes (TTT)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0487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Totnes Climate Hub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A1D29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£1,870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6C6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1870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3D82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8F16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Nil. Refer to Paige Adams Trust and/or consider funding through TTC Climate Change budget.</w:t>
            </w:r>
          </w:p>
        </w:tc>
      </w:tr>
      <w:tr w:rsidR="00F50FE2" w:rsidRPr="00F50FE2" w14:paraId="2EA03E02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9B19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proofErr w:type="spellStart"/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TravellerSpace</w:t>
            </w:r>
            <w:proofErr w:type="spellEnd"/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E2926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Moving Forward – Supporting Gypsies &amp; Travellers in Totnes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5B11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5,000.00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B60DB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15,000.00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FAEE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33.3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61C7F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16% £800 grant funded.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Encourage group to work with and integrate with existing organisations, for example Stepping Stones, SHDC Traveller Forum.</w:t>
            </w:r>
          </w:p>
        </w:tc>
      </w:tr>
      <w:tr w:rsidR="00F50FE2" w:rsidRPr="00F50FE2" w14:paraId="0AA174A0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78E98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TRAYE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63C1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The Totnes Young People’s Free Zone.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A37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3,799.00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A9153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5,663.00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6047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67.1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A6A8AA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53% £2,000 grant awarded. </w:t>
            </w: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S137 allocation.</w:t>
            </w:r>
            <w:r w:rsidRPr="00F50FE2"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  <w:t> Refer to Paige Adams Trust.</w:t>
            </w:r>
          </w:p>
        </w:tc>
      </w:tr>
      <w:tr w:rsidR="00F50FE2" w:rsidRPr="00F50FE2" w14:paraId="730B1001" w14:textId="77777777" w:rsidTr="002F7CD7">
        <w:tc>
          <w:tcPr>
            <w:tcW w:w="3410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3E322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619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D745C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153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59B35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78,237.50</w:t>
            </w:r>
          </w:p>
        </w:tc>
        <w:tc>
          <w:tcPr>
            <w:tcW w:w="1504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FF30E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168,005.48</w:t>
            </w:r>
          </w:p>
        </w:tc>
        <w:tc>
          <w:tcPr>
            <w:tcW w:w="825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C56C4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46.6</w:t>
            </w:r>
          </w:p>
        </w:tc>
        <w:tc>
          <w:tcPr>
            <w:tcW w:w="3853" w:type="dxa"/>
            <w:shd w:val="clear" w:color="auto" w:fill="F9F5F4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98B20" w14:textId="77777777" w:rsidR="00F50FE2" w:rsidRPr="00F50FE2" w:rsidRDefault="00F50FE2" w:rsidP="002F7CD7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kern w:val="0"/>
                <w:lang w:eastAsia="en-GB"/>
                <w14:ligatures w14:val="none"/>
              </w:rPr>
            </w:pPr>
            <w:r w:rsidRPr="00F50FE2">
              <w:rPr>
                <w:rFonts w:ascii="Calibri" w:eastAsia="Times New Roman" w:hAnsi="Calibri" w:cs="Calibri"/>
                <w:b/>
                <w:bCs/>
                <w:color w:val="333333"/>
                <w:kern w:val="0"/>
                <w:lang w:eastAsia="en-GB"/>
                <w14:ligatures w14:val="none"/>
              </w:rPr>
              <w:t>£25,042</w:t>
            </w:r>
          </w:p>
        </w:tc>
      </w:tr>
    </w:tbl>
    <w:p w14:paraId="0A71FE36" w14:textId="77777777" w:rsidR="00F50FE2" w:rsidRPr="00720F6A" w:rsidRDefault="00F50FE2" w:rsidP="00F50FE2">
      <w:pPr>
        <w:pStyle w:val="is-style-default"/>
        <w:shd w:val="clear" w:color="auto" w:fill="F9F5F4"/>
        <w:spacing w:before="0" w:beforeAutospacing="0" w:after="0" w:afterAutospacing="0"/>
        <w:rPr>
          <w:rFonts w:ascii="Calibri" w:hAnsi="Calibri" w:cs="Calibri"/>
          <w:color w:val="333333"/>
        </w:rPr>
      </w:pPr>
    </w:p>
    <w:p w14:paraId="67984270" w14:textId="77777777" w:rsidR="00F50FE2" w:rsidRDefault="00F50FE2" w:rsidP="00720F6A">
      <w:pPr>
        <w:shd w:val="clear" w:color="auto" w:fill="F9F5F4"/>
        <w:spacing w:after="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</w:p>
    <w:p w14:paraId="1867A94F" w14:textId="52321D3B" w:rsidR="00720F6A" w:rsidRPr="00720F6A" w:rsidRDefault="00720F6A" w:rsidP="00720F6A">
      <w:pPr>
        <w:shd w:val="clear" w:color="auto" w:fill="F9F5F4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720F6A">
        <w:rPr>
          <w:rFonts w:ascii="Calibri" w:eastAsia="Times New Roman" w:hAnsi="Calibri" w:cs="Calibri"/>
          <w:b/>
          <w:bCs/>
          <w:color w:val="333333"/>
          <w:kern w:val="0"/>
          <w:sz w:val="24"/>
          <w:szCs w:val="24"/>
          <w:lang w:eastAsia="en-GB"/>
          <w14:ligatures w14:val="none"/>
        </w:rPr>
        <w:t>Totnes Town Council Community Grant Application Decisions – Full Council April 2022</w:t>
      </w:r>
    </w:p>
    <w:p w14:paraId="5BD6FD8F" w14:textId="77777777" w:rsidR="00720F6A" w:rsidRPr="00720F6A" w:rsidRDefault="00720F6A" w:rsidP="00720F6A">
      <w:pPr>
        <w:shd w:val="clear" w:color="auto" w:fill="F9F5F4"/>
        <w:spacing w:after="0" w:line="240" w:lineRule="auto"/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</w:pPr>
      <w:r w:rsidRPr="00720F6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 xml:space="preserve">Discussion was had to ensure that the applications will be spent in the interests of the area of its inhabitants and will benefit them in a manner commensurate with expenditure, as per the spending powers under section 137 of the Local Government Act 1972.Totnes Town Council RESOLVED to </w:t>
      </w:r>
      <w:proofErr w:type="gramStart"/>
      <w:r w:rsidRPr="00720F6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allocate  £</w:t>
      </w:r>
      <w:proofErr w:type="gramEnd"/>
      <w:r w:rsidRPr="00720F6A">
        <w:rPr>
          <w:rFonts w:ascii="Calibri" w:eastAsia="Times New Roman" w:hAnsi="Calibri" w:cs="Calibri"/>
          <w:color w:val="333333"/>
          <w:kern w:val="0"/>
          <w:sz w:val="24"/>
          <w:szCs w:val="24"/>
          <w:lang w:eastAsia="en-GB"/>
          <w14:ligatures w14:val="none"/>
        </w:rPr>
        <w:t>24893.64 to Community Grant applicants listed below, £8793.64 of which is considered S137 expenditure. </w:t>
      </w:r>
    </w:p>
    <w:p w14:paraId="17ED8E0D" w14:textId="77777777" w:rsidR="00720F6A" w:rsidRPr="00720F6A" w:rsidRDefault="00720F6A" w:rsidP="00720F6A">
      <w:pPr>
        <w:spacing w:after="0" w:line="240" w:lineRule="auto"/>
        <w:rPr>
          <w:rFonts w:ascii="Calibri" w:hAnsi="Calibri" w:cs="Calibri"/>
        </w:rPr>
      </w:pPr>
    </w:p>
    <w:tbl>
      <w:tblPr>
        <w:tblpPr w:leftFromText="180" w:rightFromText="180" w:vertAnchor="text" w:horzAnchor="margin" w:tblpXSpec="center" w:tblpY="203"/>
        <w:tblW w:w="13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1"/>
        <w:gridCol w:w="2852"/>
        <w:gridCol w:w="1301"/>
        <w:gridCol w:w="1279"/>
        <w:gridCol w:w="876"/>
        <w:gridCol w:w="3865"/>
      </w:tblGrid>
      <w:tr w:rsidR="00720F6A" w:rsidRPr="00720F6A" w14:paraId="2A705CED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2B24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Applicant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99B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Project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EF877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Amount requested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ED826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project cost £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2731B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% of total cost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B733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FULL COUNCIL AGREED</w:t>
            </w:r>
          </w:p>
        </w:tc>
      </w:tr>
      <w:tr w:rsidR="00720F6A" w:rsidRPr="00720F6A" w14:paraId="54179886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9B67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Totnes Caring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96F7D" w14:textId="1D206D2F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</w:t>
            </w: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osts towards the Community Transport coordinator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6BEBE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3891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17,354.00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6FFB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23.0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348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£4,000 grant awarded. Powers for Community Transport.</w:t>
            </w:r>
          </w:p>
        </w:tc>
      </w:tr>
      <w:tr w:rsidR="00720F6A" w:rsidRPr="00720F6A" w14:paraId="37F6AAD6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32E17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South Hams Citizens Advice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BE0ED" w14:textId="0444ED4F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</w:t>
            </w: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ontribution to outreach support worker in partnership with Totnes Caring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C341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F88AD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9,800.00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B3C8D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71.4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EAFAE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£7,000 grant awarded. Power to support CAB. </w:t>
            </w:r>
          </w:p>
        </w:tc>
      </w:tr>
      <w:tr w:rsidR="00720F6A" w:rsidRPr="00720F6A" w14:paraId="004CE4E1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49AB4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Totnes Bike Hub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F9F65" w14:textId="27181A1C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V</w:t>
            </w: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olunteer training costs to upcycle bikes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29B6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3,960.00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1146B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6,960.00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8F75C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56.9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378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£3960 grant awarded. S137 allocation.</w:t>
            </w:r>
          </w:p>
        </w:tc>
      </w:tr>
      <w:tr w:rsidR="00720F6A" w:rsidRPr="00720F6A" w14:paraId="7D3DA655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52D02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Stepping Stones Totnes CIC Food Hub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C7214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IT set up – laptop, mobile, printer etc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1550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2,394.55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735B9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2,394.55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4C7AF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D5760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gramStart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  £</w:t>
            </w:r>
            <w:proofErr w:type="gramEnd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2394.55 grant awarded. S137 allocation.</w:t>
            </w:r>
          </w:p>
        </w:tc>
      </w:tr>
      <w:tr w:rsidR="00720F6A" w:rsidRPr="00720F6A" w14:paraId="63FF8171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30E61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proofErr w:type="spellStart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Sharpham</w:t>
            </w:r>
            <w:proofErr w:type="spellEnd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/Totnes Park Run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B70AF" w14:textId="576D9591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</w:t>
            </w: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et up costs for a new Park Run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ED46B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80DF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E21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25.0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AE5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£1000 grant awarded. Power to provide provision of entertainment and support of the arts AND Tourism.</w:t>
            </w:r>
          </w:p>
        </w:tc>
      </w:tr>
      <w:tr w:rsidR="00720F6A" w:rsidRPr="00720F6A" w14:paraId="3ABAC2C4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5C89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St John’s Church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CD19F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wellbeing activities and Jubilee event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A444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1,800.00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A6EE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4FDB0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20.0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4FAEB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£1800 grant awarded. Power to provide provision of entertainment and support of the arts</w:t>
            </w:r>
          </w:p>
        </w:tc>
      </w:tr>
      <w:tr w:rsidR="00720F6A" w:rsidRPr="00720F6A" w14:paraId="262B4F56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EB84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Dartington Morris Men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0B59D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Brutus Pageant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433DC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550.00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64116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750.00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BAB61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73.3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A7F8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£550 grant awarded. Power to provide provision of entertainment and support of the arts AND Tourism.</w:t>
            </w:r>
          </w:p>
        </w:tc>
      </w:tr>
      <w:tr w:rsidR="00720F6A" w:rsidRPr="00720F6A" w14:paraId="3AE4EDE0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F624B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Bridgetown Alive!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ABF19" w14:textId="52D5568B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</w:t>
            </w: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ontributions to Newsletter and Noticeboards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1F27C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940.00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02EB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1,280.00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76F2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73.4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C0DA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grant awarded. S137 allocation.</w:t>
            </w:r>
          </w:p>
        </w:tc>
      </w:tr>
      <w:tr w:rsidR="00720F6A" w:rsidRPr="00720F6A" w14:paraId="7DF561DE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69046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Inclusive Totnes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9CED4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Community Benches outside The Mansion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08F8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F194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91CC4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100.0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18E1A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75% £1500 grant awarded.  S137 allocation.</w:t>
            </w:r>
          </w:p>
        </w:tc>
      </w:tr>
      <w:tr w:rsidR="00720F6A" w:rsidRPr="00720F6A" w14:paraId="0CF7B44B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88D77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Totnes Garden Trail Group (formerly Gardening for health)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7E5F9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Notice Board at </w:t>
            </w:r>
            <w:proofErr w:type="gramStart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The Lamb garden</w:t>
            </w:r>
            <w:proofErr w:type="gramEnd"/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 xml:space="preserve"> and new Garden Trail leaflets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E4FD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1,000.00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7812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1,500.00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00E47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66.7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07510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£1000 allocated in principle – subject to paperwork and checks being completed. Powers under Recreation/ Information/Tourism.</w:t>
            </w:r>
          </w:p>
        </w:tc>
      </w:tr>
      <w:tr w:rsidR="00720F6A" w:rsidRPr="00720F6A" w14:paraId="101C0FCC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C4DAE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lastRenderedPageBreak/>
              <w:t>Participate Arts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DB09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Creative Connections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BC56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750.00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F82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3,500.00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CD40B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21.4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FAF12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FULL £750 allocated. Power to provide provision of entertainment and support of the arts AND Tourism.</w:t>
            </w:r>
          </w:p>
        </w:tc>
      </w:tr>
      <w:tr w:rsidR="00720F6A" w:rsidRPr="00720F6A" w14:paraId="16B12F5C" w14:textId="77777777" w:rsidTr="00720F6A">
        <w:tc>
          <w:tcPr>
            <w:tcW w:w="3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6B8D0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</w:t>
            </w:r>
          </w:p>
        </w:tc>
        <w:tc>
          <w:tcPr>
            <w:tcW w:w="285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C3C6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2F7651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25,394.55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DAF723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58,538.55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47E145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43.4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9C898" w14:textId="77777777" w:rsidR="00720F6A" w:rsidRPr="00720F6A" w:rsidRDefault="00720F6A" w:rsidP="00720F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</w:pPr>
            <w:r w:rsidRPr="00720F6A">
              <w:rPr>
                <w:rFonts w:ascii="Calibri" w:eastAsia="Times New Roman" w:hAnsi="Calibri" w:cs="Calibri"/>
                <w:kern w:val="0"/>
                <w:lang w:eastAsia="en-GB"/>
                <w14:ligatures w14:val="none"/>
              </w:rPr>
              <w:t>£16100 under various powers, £8793.64 S137, </w:t>
            </w:r>
            <w:r w:rsidRPr="00720F6A">
              <w:rPr>
                <w:rFonts w:ascii="Calibri" w:eastAsia="Times New Roman" w:hAnsi="Calibri" w:cs="Calibri"/>
                <w:b/>
                <w:bCs/>
                <w:kern w:val="0"/>
                <w:lang w:eastAsia="en-GB"/>
                <w14:ligatures w14:val="none"/>
              </w:rPr>
              <w:t>TOTAL £24893.64</w:t>
            </w:r>
          </w:p>
        </w:tc>
      </w:tr>
    </w:tbl>
    <w:p w14:paraId="4968EA4F" w14:textId="77777777" w:rsidR="00720F6A" w:rsidRPr="00720F6A" w:rsidRDefault="00720F6A" w:rsidP="00720F6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615A7C5" w14:textId="77777777" w:rsidR="00720F6A" w:rsidRPr="00720F6A" w:rsidRDefault="00720F6A" w:rsidP="00720F6A">
      <w:pPr>
        <w:shd w:val="clear" w:color="auto" w:fill="F9F5F4"/>
        <w:spacing w:after="36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14EAEFCC" w14:textId="77777777" w:rsidR="00720F6A" w:rsidRPr="00720F6A" w:rsidRDefault="00720F6A" w:rsidP="00720F6A">
      <w:pPr>
        <w:shd w:val="clear" w:color="auto" w:fill="F9F5F4"/>
        <w:spacing w:after="360" w:line="240" w:lineRule="auto"/>
        <w:rPr>
          <w:rFonts w:ascii="Calibri" w:eastAsia="Times New Roman" w:hAnsi="Calibri" w:cs="Calibri"/>
          <w:b/>
          <w:bCs/>
          <w:color w:val="333333"/>
          <w:kern w:val="0"/>
          <w:sz w:val="27"/>
          <w:szCs w:val="27"/>
          <w:lang w:eastAsia="en-GB"/>
          <w14:ligatures w14:val="none"/>
        </w:rPr>
      </w:pPr>
    </w:p>
    <w:p w14:paraId="4A6C948A" w14:textId="77777777" w:rsidR="00720F6A" w:rsidRPr="00720F6A" w:rsidRDefault="00720F6A">
      <w:pPr>
        <w:rPr>
          <w:rFonts w:ascii="Calibri" w:hAnsi="Calibri" w:cs="Calibri"/>
        </w:rPr>
      </w:pPr>
    </w:p>
    <w:sectPr w:rsidR="00720F6A" w:rsidRPr="00720F6A" w:rsidSect="00720F6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6A"/>
    <w:rsid w:val="0019258A"/>
    <w:rsid w:val="002F4E45"/>
    <w:rsid w:val="004443A1"/>
    <w:rsid w:val="006C2ADF"/>
    <w:rsid w:val="00720F6A"/>
    <w:rsid w:val="009C3009"/>
    <w:rsid w:val="00C344FC"/>
    <w:rsid w:val="00E8507E"/>
    <w:rsid w:val="00F50FE2"/>
    <w:rsid w:val="00FA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0F6D7"/>
  <w15:chartTrackingRefBased/>
  <w15:docId w15:val="{B99A10CD-7BA3-4CA7-99EC-B702A0FF0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0F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0F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0F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0F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0F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0F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0F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0F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0F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0F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0F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0F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0F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0F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0F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0F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0F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0F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0F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0F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0F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0F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0F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0F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0F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0F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0F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0F6A"/>
    <w:rPr>
      <w:b/>
      <w:bCs/>
      <w:smallCaps/>
      <w:color w:val="0F4761" w:themeColor="accent1" w:themeShade="BF"/>
      <w:spacing w:val="5"/>
    </w:rPr>
  </w:style>
  <w:style w:type="paragraph" w:customStyle="1" w:styleId="is-style-default">
    <w:name w:val="is-style-default"/>
    <w:basedOn w:val="Normal"/>
    <w:rsid w:val="00720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720F6A"/>
    <w:rPr>
      <w:b/>
      <w:bCs/>
    </w:rPr>
  </w:style>
  <w:style w:type="table" w:styleId="TableGrid">
    <w:name w:val="Table Grid"/>
    <w:basedOn w:val="TableNormal"/>
    <w:uiPriority w:val="59"/>
    <w:rsid w:val="00F50FE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5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4787D5D701543AFB7531D2E278727" ma:contentTypeVersion="15" ma:contentTypeDescription="Create a new document." ma:contentTypeScope="" ma:versionID="2aaffee43e6c012a0bca94b596386eb3">
  <xsd:schema xmlns:xsd="http://www.w3.org/2001/XMLSchema" xmlns:xs="http://www.w3.org/2001/XMLSchema" xmlns:p="http://schemas.microsoft.com/office/2006/metadata/properties" xmlns:ns2="3e17ef8c-23c1-40be-b9a1-61c8d2553741" xmlns:ns3="5078ea1e-726b-4ce9-b6a9-ce0da4b18bb9" targetNamespace="http://schemas.microsoft.com/office/2006/metadata/properties" ma:root="true" ma:fieldsID="448c1df35c89a13e9f01719cfeffa5c5" ns2:_="" ns3:_="">
    <xsd:import namespace="3e17ef8c-23c1-40be-b9a1-61c8d2553741"/>
    <xsd:import namespace="5078ea1e-726b-4ce9-b6a9-ce0da4b18b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7ef8c-23c1-40be-b9a1-61c8d2553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c72a91d-eefe-4398-b2b3-2ee2fca36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ea1e-726b-4ce9-b6a9-ce0da4b18b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ecea8c1-0d0e-4768-be05-28e5ac872e1f}" ma:internalName="TaxCatchAll" ma:showField="CatchAllData" ma:web="5078ea1e-726b-4ce9-b6a9-ce0da4b18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17ef8c-23c1-40be-b9a1-61c8d2553741">
      <Terms xmlns="http://schemas.microsoft.com/office/infopath/2007/PartnerControls"/>
    </lcf76f155ced4ddcb4097134ff3c332f>
    <TaxCatchAll xmlns="5078ea1e-726b-4ce9-b6a9-ce0da4b18bb9" xsi:nil="true"/>
  </documentManagement>
</p:properties>
</file>

<file path=customXml/itemProps1.xml><?xml version="1.0" encoding="utf-8"?>
<ds:datastoreItem xmlns:ds="http://schemas.openxmlformats.org/officeDocument/2006/customXml" ds:itemID="{EE213B76-B321-4330-B684-AC1B34B26E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72F477-E175-41AF-B9B6-F85CD5E62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7ef8c-23c1-40be-b9a1-61c8d2553741"/>
    <ds:schemaRef ds:uri="5078ea1e-726b-4ce9-b6a9-ce0da4b18b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7DA5D-5413-4EC0-ADEB-0D391D56EC94}">
  <ds:schemaRefs>
    <ds:schemaRef ds:uri="http://schemas.microsoft.com/office/2006/metadata/properties"/>
    <ds:schemaRef ds:uri="http://schemas.microsoft.com/office/infopath/2007/PartnerControls"/>
    <ds:schemaRef ds:uri="3e17ef8c-23c1-40be-b9a1-61c8d2553741"/>
    <ds:schemaRef ds:uri="5078ea1e-726b-4ce9-b6a9-ce0da4b18b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Totnes Town Council Administrator</dc:creator>
  <cp:keywords/>
  <dc:description/>
  <cp:lastModifiedBy>Totnes Town Council Administrator</cp:lastModifiedBy>
  <cp:revision>6</cp:revision>
  <dcterms:created xsi:type="dcterms:W3CDTF">2024-03-15T10:14:00Z</dcterms:created>
  <dcterms:modified xsi:type="dcterms:W3CDTF">2024-07-01T10:04:00Z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0x0101006004787D5D701543AFB7531D2E278727</vt:lpwstr>
  </property>
</Properties>
</file>